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709B" w14:textId="037D028D" w:rsidR="00DF67F6" w:rsidRPr="00C50B49" w:rsidRDefault="00DF67F6" w:rsidP="00DF67F6">
      <w:pPr>
        <w:rPr>
          <w:rFonts w:ascii="BIZ UDPゴシック" w:eastAsia="BIZ UDPゴシック" w:hAnsi="BIZ UDPゴシック"/>
          <w:sz w:val="24"/>
          <w:szCs w:val="24"/>
        </w:rPr>
      </w:pPr>
      <w:r w:rsidRPr="00C50B49"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99675A" w:rsidRPr="00C50B49">
        <w:rPr>
          <w:rFonts w:ascii="BIZ UDPゴシック" w:eastAsia="BIZ UDPゴシック" w:hAnsi="BIZ UDPゴシック" w:hint="eastAsia"/>
          <w:sz w:val="24"/>
          <w:szCs w:val="24"/>
        </w:rPr>
        <w:t>大規模行為における重点地域ごとの</w:t>
      </w:r>
      <w:r w:rsidR="008564C7" w:rsidRPr="00C50B49">
        <w:rPr>
          <w:rFonts w:ascii="BIZ UDPゴシック" w:eastAsia="BIZ UDPゴシック" w:hAnsi="BIZ UDPゴシック" w:hint="eastAsia"/>
          <w:sz w:val="24"/>
          <w:szCs w:val="24"/>
        </w:rPr>
        <w:t>視点場と眺望・</w:t>
      </w:r>
      <w:r w:rsidR="0099675A" w:rsidRPr="00C50B49">
        <w:rPr>
          <w:rFonts w:ascii="BIZ UDPゴシック" w:eastAsia="BIZ UDPゴシック" w:hAnsi="BIZ UDPゴシック" w:hint="eastAsia"/>
          <w:sz w:val="24"/>
          <w:szCs w:val="24"/>
        </w:rPr>
        <w:t>景観形成基準</w:t>
      </w:r>
      <w:r w:rsidR="009E5B56">
        <w:rPr>
          <w:rFonts w:ascii="BIZ UDPゴシック" w:eastAsia="BIZ UDPゴシック" w:hAnsi="BIZ UDPゴシック" w:hint="eastAsia"/>
          <w:sz w:val="24"/>
          <w:szCs w:val="24"/>
        </w:rPr>
        <w:t>等</w:t>
      </w:r>
    </w:p>
    <w:p w14:paraId="3C8F0A90" w14:textId="2CD30615" w:rsidR="00CE392D" w:rsidRDefault="00CE392D" w:rsidP="002558A4">
      <w:pPr>
        <w:rPr>
          <w:rFonts w:ascii="BIZ UDPゴシック" w:eastAsia="BIZ UDPゴシック" w:hAnsi="BIZ UDPゴシック"/>
          <w:sz w:val="22"/>
        </w:rPr>
      </w:pPr>
      <w:r w:rsidRPr="00C50B49">
        <w:rPr>
          <w:rFonts w:ascii="BIZ UDPゴシック" w:eastAsia="BIZ UDPゴシック" w:hAnsi="BIZ UDPゴシック" w:hint="eastAsia"/>
          <w:sz w:val="22"/>
        </w:rPr>
        <w:t>３－６．白川沿岸地域</w:t>
      </w:r>
    </w:p>
    <w:p w14:paraId="369D2933" w14:textId="77777777" w:rsidR="00C50B49" w:rsidRPr="00C50B49" w:rsidRDefault="00C50B49" w:rsidP="002558A4">
      <w:pPr>
        <w:rPr>
          <w:rFonts w:ascii="BIZ UDPゴシック" w:eastAsia="BIZ UDPゴシック" w:hAnsi="BIZ UDPゴシック"/>
          <w:sz w:val="22"/>
        </w:rPr>
      </w:pPr>
    </w:p>
    <w:p w14:paraId="557C3A74" w14:textId="379696F7" w:rsidR="00807DCE" w:rsidRPr="005356C3" w:rsidRDefault="00807DCE" w:rsidP="00807DCE">
      <w:pPr>
        <w:ind w:left="1638" w:hangingChars="780" w:hanging="1638"/>
        <w:rPr>
          <w:rFonts w:ascii="UD デジタル 教科書体 NP-R" w:eastAsia="UD デジタル 教科書体 NP-R"/>
          <w:szCs w:val="21"/>
        </w:rPr>
      </w:pPr>
      <w:r w:rsidRPr="005356C3">
        <w:rPr>
          <w:rFonts w:ascii="UD デジタル 教科書体 NP-R" w:eastAsia="UD デジタル 教科書体 NP-R" w:hint="eastAsia"/>
          <w:szCs w:val="21"/>
        </w:rPr>
        <w:t>３－６－１．</w:t>
      </w:r>
      <w:r w:rsidRPr="009E5B56">
        <w:rPr>
          <w:rFonts w:ascii="UD デジタル 教科書体 NP-R" w:eastAsia="UD デジタル 教科書体 NP-R" w:hint="eastAsia"/>
          <w:szCs w:val="21"/>
          <w:shd w:val="pct15" w:color="auto" w:fill="FFFFFF"/>
        </w:rPr>
        <w:t>視点場</w:t>
      </w:r>
      <w:r w:rsidRPr="009E5B56">
        <w:rPr>
          <w:rFonts w:ascii="ＭＳ 明朝" w:eastAsia="ＭＳ 明朝" w:hAnsi="ＭＳ 明朝" w:cs="ＭＳ 明朝" w:hint="eastAsia"/>
          <w:szCs w:val="21"/>
          <w:shd w:val="pct15" w:color="auto" w:fill="FFFFFF"/>
        </w:rPr>
        <w:t>ⓐ</w:t>
      </w:r>
      <w:r w:rsidRPr="009E5B56">
        <w:rPr>
          <w:rFonts w:ascii="UD デジタル 教科書体 NP-R" w:eastAsia="UD デジタル 教科書体 NP-R" w:hAnsi="UD デジタル 教科書体 NP-R" w:cs="UD デジタル 教科書体 NP-R" w:hint="eastAsia"/>
          <w:szCs w:val="21"/>
          <w:shd w:val="pct15" w:color="auto" w:fill="FFFFFF"/>
        </w:rPr>
        <w:t>から</w:t>
      </w:r>
      <w:r w:rsidRPr="009E5B56">
        <w:rPr>
          <w:rFonts w:ascii="ＭＳ 明朝" w:eastAsia="ＭＳ 明朝" w:hAnsi="ＭＳ 明朝" w:cs="ＭＳ 明朝" w:hint="eastAsia"/>
          <w:szCs w:val="21"/>
          <w:shd w:val="pct15" w:color="auto" w:fill="FFFFFF"/>
        </w:rPr>
        <w:t>ⓔ</w:t>
      </w:r>
      <w:r w:rsidRPr="009E5B56">
        <w:rPr>
          <w:rFonts w:ascii="UD デジタル 教科書体 NP-R" w:eastAsia="UD デジタル 教科書体 NP-R" w:hAnsi="UD デジタル 教科書体 NP-R" w:cs="UD デジタル 教科書体 NP-R" w:hint="eastAsia"/>
          <w:szCs w:val="21"/>
          <w:shd w:val="pct15" w:color="auto" w:fill="FFFFFF"/>
        </w:rPr>
        <w:t>の眺望範囲</w:t>
      </w:r>
      <w:r w:rsidRPr="009E5B56">
        <w:rPr>
          <w:rFonts w:ascii="UD デジタル 教科書体 NP-R" w:eastAsia="UD デジタル 教科書体 NP-R" w:hint="eastAsia"/>
          <w:szCs w:val="21"/>
          <w:shd w:val="pct15" w:color="auto" w:fill="FFFFFF"/>
          <w:vertAlign w:val="superscript"/>
        </w:rPr>
        <w:t>※</w:t>
      </w:r>
      <w:r w:rsidRPr="009E5B56">
        <w:rPr>
          <w:rFonts w:ascii="UD デジタル 教科書体 NP-R" w:eastAsia="UD デジタル 教科書体 NP-R" w:hint="eastAsia"/>
          <w:szCs w:val="21"/>
          <w:shd w:val="pct15" w:color="auto" w:fill="FFFFFF"/>
        </w:rPr>
        <w:t>内での行為か。</w:t>
      </w:r>
      <w:r w:rsidRPr="005356C3">
        <w:rPr>
          <w:rFonts w:ascii="UD デジタル 教科書体 NP-R" w:eastAsia="UD デジタル 教科書体 NP-R" w:hint="eastAsia"/>
          <w:szCs w:val="21"/>
        </w:rPr>
        <w:t xml:space="preserve">　</w:t>
      </w:r>
    </w:p>
    <w:p w14:paraId="55F797CC" w14:textId="77777777" w:rsidR="00A70957" w:rsidRPr="009E5B56" w:rsidRDefault="00A70957" w:rsidP="00C50B49">
      <w:pPr>
        <w:rPr>
          <w:rFonts w:ascii="UD デジタル 教科書体 NP-R" w:eastAsia="UD デジタル 教科書体 NP-R"/>
          <w:sz w:val="22"/>
        </w:rPr>
      </w:pPr>
      <w:r w:rsidRPr="009E5B56">
        <w:rPr>
          <w:rFonts w:ascii="UD デジタル 教科書体 NP-R" w:eastAsia="UD デジタル 教科書体 NP-R" w:hint="eastAsia"/>
          <w:sz w:val="22"/>
        </w:rPr>
        <w:t>□該当する（下表の左欄の視点場に</w:t>
      </w:r>
      <w:r w:rsidRPr="009E5B56">
        <w:rPr>
          <w:rFonts w:ascii="Segoe UI Symbol" w:eastAsia="UD デジタル 教科書体 NP-R" w:hAnsi="Segoe UI Symbol" w:cs="Segoe UI Symbol"/>
          <w:sz w:val="22"/>
        </w:rPr>
        <w:t>☑</w:t>
      </w:r>
      <w:r w:rsidRPr="009E5B56">
        <w:rPr>
          <w:rFonts w:ascii="UD デジタル 教科書体 NP-R" w:eastAsia="UD デジタル 教科書体 NP-R" w:hAnsi="UD デジタル 教科書体 NP-R" w:cs="UD デジタル 教科書体 NP-R" w:hint="eastAsia"/>
          <w:sz w:val="22"/>
        </w:rPr>
        <w:t>を入れ、眺望の保全・向上の考え方への適合を確認後、右欄に</w:t>
      </w:r>
      <w:r w:rsidRPr="009E5B56">
        <w:rPr>
          <w:rFonts w:ascii="UD デジタル 教科書体 NP-R" w:eastAsia="UD デジタル 教科書体 NP-R" w:hint="eastAsia"/>
          <w:sz w:val="22"/>
        </w:rPr>
        <w:t>（</w:t>
      </w:r>
      <w:r w:rsidRPr="009E5B56">
        <w:rPr>
          <w:rFonts w:ascii="Segoe UI Symbol" w:eastAsia="UD デジタル 教科書体 NP-R" w:hAnsi="Segoe UI Symbol" w:cs="Segoe UI Symbol"/>
          <w:sz w:val="22"/>
        </w:rPr>
        <w:t>☑</w:t>
      </w:r>
      <w:r w:rsidRPr="009E5B56">
        <w:rPr>
          <w:rFonts w:ascii="UD デジタル 教科書体 NP-R" w:eastAsia="UD デジタル 教科書体 NP-R" w:hint="eastAsia"/>
          <w:sz w:val="22"/>
        </w:rPr>
        <w:t>）して</w:t>
      </w:r>
      <w:r w:rsidRPr="009E5B56">
        <w:rPr>
          <w:rFonts w:ascii="UD デジタル 教科書体 NP-R" w:eastAsia="UD デジタル 教科書体 NP-R" w:hAnsi="UD デジタル 教科書体 NP-R" w:cs="UD デジタル 教科書体 NP-R" w:hint="eastAsia"/>
          <w:sz w:val="22"/>
        </w:rPr>
        <w:t>下さい</w:t>
      </w:r>
      <w:r w:rsidRPr="009E5B56">
        <w:rPr>
          <w:rFonts w:ascii="UD デジタル 教科書体 NP-R" w:eastAsia="UD デジタル 教科書体 NP-R" w:hint="eastAsia"/>
          <w:sz w:val="22"/>
        </w:rPr>
        <w:t>）</w:t>
      </w:r>
    </w:p>
    <w:p w14:paraId="0C8DB065" w14:textId="46424DA3" w:rsidR="00807DCE" w:rsidRPr="009E5B56" w:rsidRDefault="00807DCE" w:rsidP="00C50B49">
      <w:pPr>
        <w:rPr>
          <w:rFonts w:ascii="UD デジタル 教科書体 NP-R" w:eastAsia="UD デジタル 教科書体 NP-R"/>
          <w:szCs w:val="21"/>
        </w:rPr>
      </w:pPr>
      <w:r w:rsidRPr="009E5B56">
        <w:rPr>
          <w:rFonts w:ascii="UD デジタル 教科書体 NP-R" w:eastAsia="UD デジタル 教科書体 NP-R" w:hint="eastAsia"/>
          <w:szCs w:val="21"/>
        </w:rPr>
        <w:t>□該当しない（３－６－２へ）</w:t>
      </w:r>
    </w:p>
    <w:p w14:paraId="32B4C92A" w14:textId="43C6E5EE" w:rsidR="00807DCE" w:rsidRPr="005356C3" w:rsidRDefault="00807DCE" w:rsidP="005356C3">
      <w:pPr>
        <w:rPr>
          <w:rFonts w:ascii="UD デジタル 教科書体 NP-R" w:eastAsia="UD デジタル 教科書体 NP-R"/>
          <w:sz w:val="20"/>
          <w:szCs w:val="20"/>
        </w:rPr>
      </w:pPr>
      <w:r w:rsidRPr="005356C3">
        <w:rPr>
          <w:rFonts w:ascii="UD デジタル 教科書体 NP-R" w:eastAsia="UD デジタル 教科書体 NP-R" w:hint="eastAsia"/>
          <w:sz w:val="20"/>
          <w:szCs w:val="20"/>
        </w:rPr>
        <w:t>（※景観計画第２章第２節３（２）重点地域の景観形成方針 白川沿岸地域「③視点場と眺望」参照</w:t>
      </w:r>
      <w:r w:rsidR="007D6BE1">
        <w:rPr>
          <w:rFonts w:ascii="UD デジタル 教科書体 NP-R" w:eastAsia="UD デジタル 教科書体 NP-R" w:hint="eastAsia"/>
          <w:sz w:val="20"/>
          <w:szCs w:val="20"/>
        </w:rPr>
        <w:t>P６１～６６）</w:t>
      </w:r>
    </w:p>
    <w:tbl>
      <w:tblPr>
        <w:tblStyle w:val="aa"/>
        <w:tblW w:w="10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713"/>
        <w:gridCol w:w="560"/>
      </w:tblGrid>
      <w:tr w:rsidR="005356C3" w:rsidRPr="005356C3" w14:paraId="7B84DDB8" w14:textId="51E6C896" w:rsidTr="007D6BE1">
        <w:trPr>
          <w:trHeight w:val="362"/>
          <w:jc w:val="center"/>
        </w:trPr>
        <w:tc>
          <w:tcPr>
            <w:tcW w:w="1956" w:type="dxa"/>
          </w:tcPr>
          <w:p w14:paraId="77140FE4" w14:textId="77777777" w:rsidR="005356C3" w:rsidRPr="005356C3" w:rsidRDefault="005356C3" w:rsidP="00986483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視点場</w:t>
            </w:r>
          </w:p>
        </w:tc>
        <w:tc>
          <w:tcPr>
            <w:tcW w:w="7713" w:type="dxa"/>
          </w:tcPr>
          <w:p w14:paraId="57B2A586" w14:textId="77777777" w:rsidR="005356C3" w:rsidRPr="005356C3" w:rsidRDefault="005356C3" w:rsidP="00986483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眺望の保全・向上の考え方</w:t>
            </w:r>
          </w:p>
        </w:tc>
        <w:tc>
          <w:tcPr>
            <w:tcW w:w="560" w:type="dxa"/>
          </w:tcPr>
          <w:p w14:paraId="1DAA0ADF" w14:textId="37B4C90F" w:rsidR="005356C3" w:rsidRPr="005356C3" w:rsidRDefault="005356C3" w:rsidP="005356C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Segoe UI Symbol" w:eastAsia="UD デジタル 教科書体 NP-R" w:hAnsi="Segoe UI Symbol" w:cs="Segoe UI Symbol"/>
                <w:szCs w:val="21"/>
              </w:rPr>
              <w:t>☑</w:t>
            </w:r>
          </w:p>
        </w:tc>
      </w:tr>
      <w:tr w:rsidR="005356C3" w:rsidRPr="005356C3" w14:paraId="35E2BC13" w14:textId="1F6FD878" w:rsidTr="007D6BE1">
        <w:trPr>
          <w:trHeight w:val="805"/>
          <w:jc w:val="center"/>
        </w:trPr>
        <w:tc>
          <w:tcPr>
            <w:tcW w:w="1956" w:type="dxa"/>
            <w:vMerge w:val="restart"/>
          </w:tcPr>
          <w:p w14:paraId="333AC618" w14:textId="28AD01BF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5356C3">
              <w:rPr>
                <w:rFonts w:ascii="ＭＳ 明朝" w:eastAsia="ＭＳ 明朝" w:hAnsi="ＭＳ 明朝" w:cs="ＭＳ 明朝" w:hint="eastAsia"/>
                <w:szCs w:val="21"/>
              </w:rPr>
              <w:t>ⓐ</w:t>
            </w: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子飼橋からの眺望</w:t>
            </w:r>
          </w:p>
        </w:tc>
        <w:tc>
          <w:tcPr>
            <w:tcW w:w="7713" w:type="dxa"/>
          </w:tcPr>
          <w:p w14:paraId="70CE5012" w14:textId="230CAD11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河川沿いの建築物については、壁面は地域で推奨する色彩（景観形成基準　第３章P105）を使用し、屋外広告物の掲出を控えます。</w:t>
            </w:r>
          </w:p>
        </w:tc>
        <w:tc>
          <w:tcPr>
            <w:tcW w:w="560" w:type="dxa"/>
          </w:tcPr>
          <w:p w14:paraId="20D023B3" w14:textId="284E004D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2D5E6B0C" w14:textId="6BF65507" w:rsidTr="007D6BE1">
        <w:trPr>
          <w:trHeight w:val="805"/>
          <w:jc w:val="center"/>
        </w:trPr>
        <w:tc>
          <w:tcPr>
            <w:tcW w:w="1956" w:type="dxa"/>
            <w:vMerge/>
          </w:tcPr>
          <w:p w14:paraId="5655F05B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39F2A987" w14:textId="37C020B4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建築物の新築、建替えにおいては、川にも顔を向けた意匠や配置とし、可能な限り周辺と調和した高さとします。</w:t>
            </w:r>
          </w:p>
        </w:tc>
        <w:tc>
          <w:tcPr>
            <w:tcW w:w="560" w:type="dxa"/>
          </w:tcPr>
          <w:p w14:paraId="6428E6ED" w14:textId="3D293344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087E24DF" w14:textId="102FF5D5" w:rsidTr="007D6BE1">
        <w:trPr>
          <w:trHeight w:val="376"/>
          <w:jc w:val="center"/>
        </w:trPr>
        <w:tc>
          <w:tcPr>
            <w:tcW w:w="1956" w:type="dxa"/>
            <w:vMerge/>
          </w:tcPr>
          <w:p w14:paraId="1A3D7E62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442632F8" w14:textId="14FD3B91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緑の連続性を生み出すよう、可能な限り道路側及び川側の敷地内を緑化します。</w:t>
            </w:r>
          </w:p>
        </w:tc>
        <w:tc>
          <w:tcPr>
            <w:tcW w:w="560" w:type="dxa"/>
          </w:tcPr>
          <w:p w14:paraId="1AF696CA" w14:textId="693C8AA7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1571F0BC" w14:textId="010395E2" w:rsidTr="007D6BE1">
        <w:trPr>
          <w:trHeight w:val="376"/>
          <w:jc w:val="center"/>
        </w:trPr>
        <w:tc>
          <w:tcPr>
            <w:tcW w:w="1956" w:type="dxa"/>
            <w:vMerge w:val="restart"/>
          </w:tcPr>
          <w:p w14:paraId="6A592B24" w14:textId="56E0D108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5356C3">
              <w:rPr>
                <w:rFonts w:ascii="ＭＳ 明朝" w:eastAsia="ＭＳ 明朝" w:hAnsi="ＭＳ 明朝" w:cs="ＭＳ 明朝" w:hint="eastAsia"/>
                <w:szCs w:val="21"/>
              </w:rPr>
              <w:t>ⓑ</w:t>
            </w: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大甲橋からの眺望</w:t>
            </w:r>
          </w:p>
        </w:tc>
        <w:tc>
          <w:tcPr>
            <w:tcW w:w="7713" w:type="dxa"/>
          </w:tcPr>
          <w:p w14:paraId="79D903C1" w14:textId="646B7F7B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河川沿いの建築物については、壁面は地域で推奨する色彩（景観形成基準　第３章P105）を使用し、屋外広告物の掲出を控えます。</w:t>
            </w:r>
          </w:p>
        </w:tc>
        <w:tc>
          <w:tcPr>
            <w:tcW w:w="560" w:type="dxa"/>
          </w:tcPr>
          <w:p w14:paraId="0199B20F" w14:textId="21089ED9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181A4BCA" w14:textId="00508A59" w:rsidTr="007D6BE1">
        <w:trPr>
          <w:trHeight w:val="376"/>
          <w:jc w:val="center"/>
        </w:trPr>
        <w:tc>
          <w:tcPr>
            <w:tcW w:w="1956" w:type="dxa"/>
            <w:vMerge/>
          </w:tcPr>
          <w:p w14:paraId="4F2D2C3F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13073F76" w14:textId="1C85FF10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建築物の新築、建替えにおいては、川にも顔を向けた意匠や配置とし、可能な限り周辺と調和した高さとします。</w:t>
            </w:r>
          </w:p>
        </w:tc>
        <w:tc>
          <w:tcPr>
            <w:tcW w:w="560" w:type="dxa"/>
          </w:tcPr>
          <w:p w14:paraId="2CD82D58" w14:textId="50B00EDA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380847C2" w14:textId="7C504C39" w:rsidTr="007D6BE1">
        <w:trPr>
          <w:trHeight w:val="376"/>
          <w:jc w:val="center"/>
        </w:trPr>
        <w:tc>
          <w:tcPr>
            <w:tcW w:w="1956" w:type="dxa"/>
            <w:vMerge/>
          </w:tcPr>
          <w:p w14:paraId="43DA4785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27F68991" w14:textId="4847E5D1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上流を眺めた場合に、建築物が立田山の稜線を遮らないよう配慮します。</w:t>
            </w:r>
          </w:p>
        </w:tc>
        <w:tc>
          <w:tcPr>
            <w:tcW w:w="560" w:type="dxa"/>
          </w:tcPr>
          <w:p w14:paraId="2F891B39" w14:textId="17FA9381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5E6BDB1F" w14:textId="39E61E91" w:rsidTr="007D6BE1">
        <w:trPr>
          <w:trHeight w:val="376"/>
          <w:jc w:val="center"/>
        </w:trPr>
        <w:tc>
          <w:tcPr>
            <w:tcW w:w="1956" w:type="dxa"/>
            <w:vMerge w:val="restart"/>
          </w:tcPr>
          <w:p w14:paraId="30B5AD47" w14:textId="6D49EC99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5356C3">
              <w:rPr>
                <w:rFonts w:ascii="ＭＳ 明朝" w:eastAsia="ＭＳ 明朝" w:hAnsi="ＭＳ 明朝" w:cs="ＭＳ 明朝" w:hint="eastAsia"/>
                <w:szCs w:val="21"/>
              </w:rPr>
              <w:t>ⓒ</w:t>
            </w: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代継橋からの眺望</w:t>
            </w:r>
          </w:p>
        </w:tc>
        <w:tc>
          <w:tcPr>
            <w:tcW w:w="7713" w:type="dxa"/>
          </w:tcPr>
          <w:p w14:paraId="44C5416D" w14:textId="7342BA48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河川沿いの建築物については、壁面は地域で推奨する色彩（景観形成基準　第３章P105）を使用し、屋外広告物の掲出を控えます。</w:t>
            </w:r>
          </w:p>
        </w:tc>
        <w:tc>
          <w:tcPr>
            <w:tcW w:w="560" w:type="dxa"/>
          </w:tcPr>
          <w:p w14:paraId="4C2F77BE" w14:textId="74232871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2CBD2188" w14:textId="54119069" w:rsidTr="007D6BE1">
        <w:trPr>
          <w:trHeight w:val="376"/>
          <w:jc w:val="center"/>
        </w:trPr>
        <w:tc>
          <w:tcPr>
            <w:tcW w:w="1956" w:type="dxa"/>
            <w:vMerge/>
          </w:tcPr>
          <w:p w14:paraId="6AC21D02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33DFD362" w14:textId="2B44BF5D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建築物の新築、建替えにおいては、川にも顔を向けた意匠や配置とし、可能な限り周辺と調和した高さとします。</w:t>
            </w:r>
          </w:p>
        </w:tc>
        <w:tc>
          <w:tcPr>
            <w:tcW w:w="560" w:type="dxa"/>
          </w:tcPr>
          <w:p w14:paraId="40DDE48F" w14:textId="6D4DF130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51D4D506" w14:textId="1B9628AE" w:rsidTr="007D6BE1">
        <w:trPr>
          <w:trHeight w:val="376"/>
          <w:jc w:val="center"/>
        </w:trPr>
        <w:tc>
          <w:tcPr>
            <w:tcW w:w="1956" w:type="dxa"/>
            <w:vMerge w:val="restart"/>
          </w:tcPr>
          <w:p w14:paraId="7CE4A742" w14:textId="5F36FB81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5356C3">
              <w:rPr>
                <w:rFonts w:ascii="ＭＳ 明朝" w:eastAsia="ＭＳ 明朝" w:hAnsi="ＭＳ 明朝" w:cs="ＭＳ 明朝" w:hint="eastAsia"/>
                <w:szCs w:val="21"/>
              </w:rPr>
              <w:t>ⓓ</w:t>
            </w: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長六橋からの眺望</w:t>
            </w:r>
          </w:p>
        </w:tc>
        <w:tc>
          <w:tcPr>
            <w:tcW w:w="7713" w:type="dxa"/>
          </w:tcPr>
          <w:p w14:paraId="6AF19B04" w14:textId="799E605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河川沿いの建築物については、壁面は地域で推奨する色彩（景観形成基準　第３章P105）を使用し、屋外広告物の掲出を控えます。</w:t>
            </w:r>
          </w:p>
        </w:tc>
        <w:tc>
          <w:tcPr>
            <w:tcW w:w="560" w:type="dxa"/>
          </w:tcPr>
          <w:p w14:paraId="6AA34FCF" w14:textId="7B1BD30B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75BD5BA5" w14:textId="1639A5AC" w:rsidTr="007D6BE1">
        <w:trPr>
          <w:trHeight w:val="376"/>
          <w:jc w:val="center"/>
        </w:trPr>
        <w:tc>
          <w:tcPr>
            <w:tcW w:w="1956" w:type="dxa"/>
            <w:vMerge/>
          </w:tcPr>
          <w:p w14:paraId="6CFD28A9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470DC14C" w14:textId="33CAE51E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建築物の新築、建替えにおいては、川にも顔を向けた意匠や配置とし、可能な限り周辺と調和した高さとします。</w:t>
            </w:r>
          </w:p>
        </w:tc>
        <w:tc>
          <w:tcPr>
            <w:tcW w:w="560" w:type="dxa"/>
          </w:tcPr>
          <w:p w14:paraId="3C95796C" w14:textId="4D244D9E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68674EE3" w14:textId="4D5FF814" w:rsidTr="007D6BE1">
        <w:trPr>
          <w:trHeight w:val="376"/>
          <w:jc w:val="center"/>
        </w:trPr>
        <w:tc>
          <w:tcPr>
            <w:tcW w:w="1956" w:type="dxa"/>
            <w:vMerge w:val="restart"/>
          </w:tcPr>
          <w:p w14:paraId="05CC9525" w14:textId="59DBE804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□</w:t>
            </w:r>
            <w:r w:rsidRPr="005356C3">
              <w:rPr>
                <w:rFonts w:ascii="ＭＳ 明朝" w:eastAsia="ＭＳ 明朝" w:hAnsi="ＭＳ 明朝" w:cs="ＭＳ 明朝" w:hint="eastAsia"/>
                <w:szCs w:val="21"/>
              </w:rPr>
              <w:t>ⓔ</w:t>
            </w: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白川橋からの眺望</w:t>
            </w:r>
          </w:p>
        </w:tc>
        <w:tc>
          <w:tcPr>
            <w:tcW w:w="7713" w:type="dxa"/>
          </w:tcPr>
          <w:p w14:paraId="14825E46" w14:textId="0113907F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河川沿いの建築物については、壁面は地域で推奨する色彩（景観形成基準　第３章P105）を使用し、屋上広告や壁面広告等の掲出を控えます。</w:t>
            </w:r>
          </w:p>
        </w:tc>
        <w:tc>
          <w:tcPr>
            <w:tcW w:w="560" w:type="dxa"/>
          </w:tcPr>
          <w:p w14:paraId="75BCFAEB" w14:textId="277DC668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  <w:tr w:rsidR="005356C3" w:rsidRPr="005356C3" w14:paraId="3C69A870" w14:textId="6DF2F989" w:rsidTr="007D6BE1">
        <w:trPr>
          <w:trHeight w:val="376"/>
          <w:jc w:val="center"/>
        </w:trPr>
        <w:tc>
          <w:tcPr>
            <w:tcW w:w="1956" w:type="dxa"/>
            <w:vMerge/>
          </w:tcPr>
          <w:p w14:paraId="5E4A41CA" w14:textId="77777777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7713" w:type="dxa"/>
          </w:tcPr>
          <w:p w14:paraId="61CACEBA" w14:textId="414B9D61" w:rsidR="005356C3" w:rsidRPr="005356C3" w:rsidRDefault="005356C3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建築物の新築、建替えにおいては、川にも顔を向けた意匠や配置とし、可能な限り周辺と調和した高さとします。</w:t>
            </w:r>
          </w:p>
        </w:tc>
        <w:tc>
          <w:tcPr>
            <w:tcW w:w="560" w:type="dxa"/>
          </w:tcPr>
          <w:p w14:paraId="1D5BF9D4" w14:textId="38004E48" w:rsidR="005356C3" w:rsidRPr="005356C3" w:rsidRDefault="00F73EEF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Cs w:val="21"/>
              </w:rPr>
              <w:t>□</w:t>
            </w:r>
          </w:p>
        </w:tc>
      </w:tr>
    </w:tbl>
    <w:p w14:paraId="3AD3F39B" w14:textId="51E84650" w:rsidR="00807DCE" w:rsidRPr="005356C3" w:rsidRDefault="00807DCE" w:rsidP="00807DCE">
      <w:pPr>
        <w:rPr>
          <w:rFonts w:ascii="UD デジタル 教科書体 NP-R" w:eastAsia="UD デジタル 教科書体 NP-R"/>
          <w:szCs w:val="21"/>
        </w:rPr>
      </w:pPr>
    </w:p>
    <w:p w14:paraId="2BD23CD9" w14:textId="3B750A87" w:rsidR="0040116A" w:rsidRPr="005356C3" w:rsidRDefault="0040116A" w:rsidP="00807DCE">
      <w:pPr>
        <w:rPr>
          <w:rFonts w:ascii="UD デジタル 教科書体 NP-R" w:eastAsia="UD デジタル 教科書体 NP-R"/>
          <w:szCs w:val="21"/>
        </w:rPr>
      </w:pPr>
    </w:p>
    <w:p w14:paraId="1421B1A4" w14:textId="6BA896D3" w:rsidR="0040116A" w:rsidRPr="005356C3" w:rsidRDefault="0040116A" w:rsidP="00807DCE">
      <w:pPr>
        <w:rPr>
          <w:rFonts w:ascii="UD デジタル 教科書体 NP-R" w:eastAsia="UD デジタル 教科書体 NP-R"/>
          <w:szCs w:val="21"/>
        </w:rPr>
      </w:pPr>
    </w:p>
    <w:p w14:paraId="3DAF09F9" w14:textId="7F1E6FE4" w:rsidR="0040116A" w:rsidRPr="005356C3" w:rsidRDefault="0040116A" w:rsidP="00807DCE">
      <w:pPr>
        <w:rPr>
          <w:rFonts w:ascii="UD デジタル 教科書体 NP-R" w:eastAsia="UD デジタル 教科書体 NP-R"/>
          <w:szCs w:val="21"/>
        </w:rPr>
      </w:pPr>
    </w:p>
    <w:p w14:paraId="4DB7873F" w14:textId="14CC5AD3" w:rsidR="0040116A" w:rsidRPr="005356C3" w:rsidRDefault="0040116A" w:rsidP="00807DCE">
      <w:pPr>
        <w:rPr>
          <w:rFonts w:ascii="UD デジタル 教科書体 NP-R" w:eastAsia="UD デジタル 教科書体 NP-R"/>
          <w:szCs w:val="21"/>
        </w:rPr>
      </w:pPr>
    </w:p>
    <w:p w14:paraId="4F47A702" w14:textId="0261B1D4" w:rsidR="009B76DB" w:rsidRPr="005356C3" w:rsidRDefault="009B76DB" w:rsidP="009B76DB">
      <w:pPr>
        <w:rPr>
          <w:rFonts w:ascii="UD デジタル 教科書体 NP-R" w:eastAsia="UD デジタル 教科書体 NP-R"/>
          <w:szCs w:val="21"/>
        </w:rPr>
      </w:pPr>
      <w:r w:rsidRPr="005356C3">
        <w:rPr>
          <w:rFonts w:ascii="UD デジタル 教科書体 NP-R" w:eastAsia="UD デジタル 教科書体 NP-R" w:hint="eastAsia"/>
          <w:szCs w:val="21"/>
        </w:rPr>
        <w:lastRenderedPageBreak/>
        <w:t>３－６－２．景観形成基準</w:t>
      </w:r>
    </w:p>
    <w:p w14:paraId="4C077765" w14:textId="3EC5B575" w:rsidR="00807DCE" w:rsidRPr="007D6BE1" w:rsidRDefault="009B76DB" w:rsidP="009B76DB">
      <w:pPr>
        <w:ind w:firstLineChars="100" w:firstLine="210"/>
        <w:rPr>
          <w:rFonts w:ascii="UD デジタル 教科書体 NP-R" w:eastAsia="UD デジタル 教科書体 NP-R"/>
          <w:szCs w:val="21"/>
          <w:shd w:val="pct15" w:color="auto" w:fill="FFFFFF"/>
        </w:rPr>
      </w:pPr>
      <w:r w:rsidRPr="007D6BE1">
        <w:rPr>
          <w:rFonts w:ascii="UD デジタル 教科書体 NP-R" w:eastAsia="UD デジタル 教科書体 NP-R" w:hint="eastAsia"/>
          <w:szCs w:val="21"/>
          <w:shd w:val="pct15" w:color="auto" w:fill="FFFFFF"/>
        </w:rPr>
        <w:t>白川沿岸地域（重点地域）の景観形成基準は下表のとおりです。</w:t>
      </w:r>
    </w:p>
    <w:p w14:paraId="41CF1C4D" w14:textId="066FE6A2" w:rsidR="00E15C65" w:rsidRPr="00A70957" w:rsidRDefault="00A70957" w:rsidP="00A70957">
      <w:pPr>
        <w:ind w:firstLineChars="100" w:firstLine="220"/>
        <w:rPr>
          <w:rFonts w:ascii="UD デジタル 教科書体 NP-R" w:eastAsia="UD デジタル 教科書体 NP-R"/>
          <w:sz w:val="22"/>
          <w:shd w:val="pct15" w:color="auto" w:fill="FFFFFF"/>
        </w:rPr>
      </w:pPr>
      <w:r w:rsidRPr="00932FA6">
        <w:rPr>
          <w:rFonts w:ascii="UD デジタル 教科書体 NP-R" w:eastAsia="UD デジタル 教科書体 NP-R" w:hint="eastAsia"/>
          <w:sz w:val="22"/>
          <w:shd w:val="pct15" w:color="auto" w:fill="FFFFFF"/>
        </w:rPr>
        <w:t>下表の景観形成基準への適合を確認後、右欄にチェック（</w:t>
      </w:r>
      <w:r w:rsidRPr="00932FA6">
        <w:rPr>
          <w:rFonts w:ascii="Segoe UI Symbol" w:eastAsia="UD デジタル 教科書体 NP-R" w:hAnsi="Segoe UI Symbol" w:cs="Segoe UI Symbol"/>
          <w:sz w:val="22"/>
          <w:shd w:val="pct15" w:color="auto" w:fill="FFFFFF"/>
        </w:rPr>
        <w:t>☑</w:t>
      </w:r>
      <w:r w:rsidRPr="00932FA6">
        <w:rPr>
          <w:rFonts w:ascii="UD デジタル 教科書体 NP-R" w:eastAsia="UD デジタル 教科書体 NP-R" w:hint="eastAsia"/>
          <w:sz w:val="22"/>
          <w:shd w:val="pct15" w:color="auto" w:fill="FFFFFF"/>
        </w:rPr>
        <w:t>）</w:t>
      </w:r>
      <w:r w:rsidR="00BB35A5">
        <w:rPr>
          <w:rFonts w:ascii="UD デジタル 教科書体 NP-R" w:eastAsia="UD デジタル 教科書体 NP-R" w:hint="eastAsia"/>
          <w:sz w:val="22"/>
          <w:shd w:val="pct15" w:color="auto" w:fill="FFFFFF"/>
        </w:rPr>
        <w:t>して</w:t>
      </w:r>
      <w:r w:rsidRPr="00932FA6">
        <w:rPr>
          <w:rFonts w:ascii="UD デジタル 教科書体 NP-R" w:eastAsia="UD デジタル 教科書体 NP-R" w:hint="eastAsia"/>
          <w:sz w:val="22"/>
          <w:shd w:val="pct15" w:color="auto" w:fill="FFFFFF"/>
        </w:rPr>
        <w:t>下さい。</w:t>
      </w:r>
    </w:p>
    <w:tbl>
      <w:tblPr>
        <w:tblpPr w:leftFromText="142" w:rightFromText="142" w:vertAnchor="text" w:tblpY="1"/>
        <w:tblOverlap w:val="never"/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7911"/>
        <w:gridCol w:w="658"/>
      </w:tblGrid>
      <w:tr w:rsidR="00E15C65" w:rsidRPr="005356C3" w14:paraId="50DEB114" w14:textId="3C4BDF0B" w:rsidTr="007D6BE1">
        <w:trPr>
          <w:trHeight w:val="306"/>
        </w:trPr>
        <w:tc>
          <w:tcPr>
            <w:tcW w:w="1181" w:type="dxa"/>
            <w:shd w:val="clear" w:color="auto" w:fill="auto"/>
            <w:vAlign w:val="center"/>
          </w:tcPr>
          <w:p w14:paraId="7063CE6A" w14:textId="77777777" w:rsidR="00E15C65" w:rsidRPr="005356C3" w:rsidRDefault="00E15C65" w:rsidP="005356C3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FF2B39E" w14:textId="77777777" w:rsidR="00E15C65" w:rsidRPr="005356C3" w:rsidRDefault="00E15C65" w:rsidP="005356C3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基準</w:t>
            </w:r>
          </w:p>
        </w:tc>
        <w:tc>
          <w:tcPr>
            <w:tcW w:w="658" w:type="dxa"/>
          </w:tcPr>
          <w:p w14:paraId="45B88DA0" w14:textId="76DA0D3E" w:rsidR="00E15C65" w:rsidRPr="005356C3" w:rsidRDefault="00E15C65" w:rsidP="005356C3">
            <w:pPr>
              <w:spacing w:line="220" w:lineRule="exact"/>
              <w:jc w:val="center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Segoe UI Symbol" w:eastAsia="UD デジタル 教科書体 NP-R" w:hAnsi="Segoe UI Symbol" w:cs="Segoe UI Symbol"/>
                <w:szCs w:val="21"/>
              </w:rPr>
              <w:t>☑</w:t>
            </w:r>
          </w:p>
        </w:tc>
      </w:tr>
      <w:tr w:rsidR="005356C3" w:rsidRPr="005356C3" w14:paraId="0BC44FB9" w14:textId="541E0ACA" w:rsidTr="007D6BE1">
        <w:trPr>
          <w:trHeight w:val="506"/>
        </w:trPr>
        <w:tc>
          <w:tcPr>
            <w:tcW w:w="1181" w:type="dxa"/>
            <w:vMerge w:val="restart"/>
            <w:shd w:val="clear" w:color="auto" w:fill="auto"/>
            <w:vAlign w:val="center"/>
          </w:tcPr>
          <w:p w14:paraId="0A3C2343" w14:textId="77777777" w:rsidR="005356C3" w:rsidRPr="005356C3" w:rsidRDefault="005356C3" w:rsidP="005356C3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基本事項</w:t>
            </w:r>
          </w:p>
        </w:tc>
        <w:tc>
          <w:tcPr>
            <w:tcW w:w="7911" w:type="dxa"/>
            <w:shd w:val="clear" w:color="auto" w:fill="auto"/>
          </w:tcPr>
          <w:p w14:paraId="40217065" w14:textId="77777777" w:rsidR="005356C3" w:rsidRPr="005356C3" w:rsidRDefault="005356C3" w:rsidP="005356C3">
            <w:pPr>
              <w:pStyle w:val="a9"/>
              <w:spacing w:line="250" w:lineRule="exact"/>
              <w:ind w:leftChars="100" w:left="420" w:hanging="210"/>
              <w:jc w:val="left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・視点場からの眺望の保全・向上に努め、必要に応じて景観シミュレーション※１を作成し、景観影響を確認すること。</w:t>
            </w:r>
          </w:p>
          <w:p w14:paraId="5DE1AF3A" w14:textId="77777777" w:rsidR="005356C3" w:rsidRPr="005356C3" w:rsidRDefault="005356C3" w:rsidP="005356C3">
            <w:pPr>
              <w:pStyle w:val="a9"/>
              <w:spacing w:line="250" w:lineRule="exact"/>
              <w:ind w:leftChars="100" w:left="210" w:firstLineChars="0" w:firstLine="0"/>
              <w:jc w:val="left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※１　現況写真をもとに計画建物等の完成予想図を合成し、実際に建設した様子に近い景観を観察し、その景観上からの影響を評価するもの</w:t>
            </w:r>
          </w:p>
        </w:tc>
        <w:tc>
          <w:tcPr>
            <w:tcW w:w="658" w:type="dxa"/>
            <w:vMerge w:val="restart"/>
            <w:vAlign w:val="center"/>
          </w:tcPr>
          <w:p w14:paraId="707A8F10" w14:textId="77777777" w:rsidR="005356C3" w:rsidRPr="005356C3" w:rsidRDefault="005356C3" w:rsidP="005356C3">
            <w:pPr>
              <w:pStyle w:val="a9"/>
              <w:spacing w:line="250" w:lineRule="exact"/>
              <w:ind w:leftChars="143" w:left="399" w:hangingChars="47" w:hanging="99"/>
              <w:jc w:val="left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 xml:space="preserve">　　　　　</w:t>
            </w:r>
          </w:p>
          <w:p w14:paraId="1F90D528" w14:textId="28CF5CEA" w:rsidR="005356C3" w:rsidRPr="005356C3" w:rsidRDefault="005356C3" w:rsidP="00C17B03">
            <w:pPr>
              <w:pStyle w:val="a9"/>
              <w:spacing w:line="250" w:lineRule="exact"/>
              <w:ind w:leftChars="100" w:left="420" w:hanging="21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□</w:t>
            </w:r>
          </w:p>
        </w:tc>
      </w:tr>
      <w:tr w:rsidR="005356C3" w:rsidRPr="005356C3" w14:paraId="049E6717" w14:textId="124E16FB" w:rsidTr="007D6BE1">
        <w:trPr>
          <w:trHeight w:val="539"/>
        </w:trPr>
        <w:tc>
          <w:tcPr>
            <w:tcW w:w="1181" w:type="dxa"/>
            <w:vMerge/>
            <w:shd w:val="clear" w:color="auto" w:fill="auto"/>
            <w:vAlign w:val="center"/>
          </w:tcPr>
          <w:p w14:paraId="0533218F" w14:textId="77777777" w:rsidR="005356C3" w:rsidRPr="005356C3" w:rsidRDefault="005356C3" w:rsidP="005356C3">
            <w:pPr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7911" w:type="dxa"/>
            <w:shd w:val="clear" w:color="auto" w:fill="auto"/>
          </w:tcPr>
          <w:p w14:paraId="159B2B04" w14:textId="0C7FF725" w:rsidR="005356C3" w:rsidRPr="005356C3" w:rsidRDefault="005356C3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・本基準の内容の確認と合わせて、景観形成方針（第２章第２節 P60～P66）の内容を確認すること。</w:t>
            </w:r>
          </w:p>
        </w:tc>
        <w:tc>
          <w:tcPr>
            <w:tcW w:w="658" w:type="dxa"/>
            <w:vMerge/>
            <w:vAlign w:val="center"/>
          </w:tcPr>
          <w:p w14:paraId="58D45E8B" w14:textId="2ACC08CE" w:rsidR="005356C3" w:rsidRPr="005356C3" w:rsidRDefault="005356C3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</w:p>
        </w:tc>
      </w:tr>
      <w:tr w:rsidR="00E15C65" w:rsidRPr="005356C3" w14:paraId="443CFB0B" w14:textId="663BDFA6" w:rsidTr="007D6BE1">
        <w:trPr>
          <w:trHeight w:val="264"/>
        </w:trPr>
        <w:tc>
          <w:tcPr>
            <w:tcW w:w="1181" w:type="dxa"/>
            <w:vMerge w:val="restart"/>
            <w:shd w:val="clear" w:color="auto" w:fill="auto"/>
          </w:tcPr>
          <w:p w14:paraId="4BE59DDE" w14:textId="00E57092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位置・高さ</w:t>
            </w:r>
          </w:p>
        </w:tc>
        <w:tc>
          <w:tcPr>
            <w:tcW w:w="7911" w:type="dxa"/>
            <w:shd w:val="clear" w:color="auto" w:fill="auto"/>
          </w:tcPr>
          <w:p w14:paraId="42E6368C" w14:textId="0FA11C23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・大甲橋から上流を眺望した場合、立田山の稜線を遮らないように配慮すること。</w:t>
            </w:r>
          </w:p>
        </w:tc>
        <w:tc>
          <w:tcPr>
            <w:tcW w:w="658" w:type="dxa"/>
            <w:vMerge w:val="restart"/>
            <w:vAlign w:val="center"/>
          </w:tcPr>
          <w:p w14:paraId="21FFC563" w14:textId="6E65FB05" w:rsidR="00E15C65" w:rsidRPr="005356C3" w:rsidRDefault="005356C3" w:rsidP="005356C3">
            <w:pPr>
              <w:pStyle w:val="a9"/>
              <w:spacing w:line="250" w:lineRule="exact"/>
              <w:ind w:leftChars="0" w:left="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 xml:space="preserve">　□</w:t>
            </w:r>
          </w:p>
        </w:tc>
      </w:tr>
      <w:tr w:rsidR="00E15C65" w:rsidRPr="005356C3" w14:paraId="68803E27" w14:textId="6C4437E3" w:rsidTr="007D6BE1">
        <w:trPr>
          <w:trHeight w:val="535"/>
        </w:trPr>
        <w:tc>
          <w:tcPr>
            <w:tcW w:w="1181" w:type="dxa"/>
            <w:vMerge/>
            <w:shd w:val="clear" w:color="auto" w:fill="auto"/>
          </w:tcPr>
          <w:p w14:paraId="2597CDAD" w14:textId="77777777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7911" w:type="dxa"/>
            <w:shd w:val="clear" w:color="auto" w:fill="auto"/>
          </w:tcPr>
          <w:p w14:paraId="4BBA22D7" w14:textId="1B364CD6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・熊本城周辺地域に含まれる地域については、その対岸の地域も含めて、熊本城周辺地域の一般地区の高さの基準を適用する。</w:t>
            </w:r>
          </w:p>
        </w:tc>
        <w:tc>
          <w:tcPr>
            <w:tcW w:w="658" w:type="dxa"/>
            <w:vMerge/>
            <w:vAlign w:val="center"/>
          </w:tcPr>
          <w:p w14:paraId="1020DFE7" w14:textId="77777777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</w:p>
        </w:tc>
      </w:tr>
      <w:tr w:rsidR="00E15C65" w:rsidRPr="005356C3" w14:paraId="7C8BC503" w14:textId="583A4BB3" w:rsidTr="007D6BE1">
        <w:trPr>
          <w:trHeight w:val="407"/>
        </w:trPr>
        <w:tc>
          <w:tcPr>
            <w:tcW w:w="1181" w:type="dxa"/>
            <w:shd w:val="clear" w:color="auto" w:fill="auto"/>
          </w:tcPr>
          <w:p w14:paraId="70E96F76" w14:textId="6DAF445F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形態</w:t>
            </w:r>
          </w:p>
        </w:tc>
        <w:tc>
          <w:tcPr>
            <w:tcW w:w="7911" w:type="dxa"/>
            <w:shd w:val="clear" w:color="auto" w:fill="auto"/>
          </w:tcPr>
          <w:p w14:paraId="4665F45C" w14:textId="5F39C1EE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・川に面する敷地の場合は、圧迫感を感じさせない、川にも顔を向けたデザイン及び配置となるように努めること。</w:t>
            </w:r>
          </w:p>
        </w:tc>
        <w:tc>
          <w:tcPr>
            <w:tcW w:w="658" w:type="dxa"/>
            <w:vAlign w:val="center"/>
          </w:tcPr>
          <w:p w14:paraId="4F77075D" w14:textId="2937B4E4" w:rsidR="00E15C65" w:rsidRPr="005356C3" w:rsidRDefault="005356C3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□</w:t>
            </w:r>
          </w:p>
        </w:tc>
      </w:tr>
      <w:tr w:rsidR="00E15C65" w:rsidRPr="005356C3" w14:paraId="0FD2A314" w14:textId="246265DC" w:rsidTr="007D6BE1">
        <w:trPr>
          <w:trHeight w:val="461"/>
        </w:trPr>
        <w:tc>
          <w:tcPr>
            <w:tcW w:w="1181" w:type="dxa"/>
            <w:vMerge w:val="restart"/>
            <w:shd w:val="clear" w:color="auto" w:fill="auto"/>
          </w:tcPr>
          <w:p w14:paraId="7277A1CB" w14:textId="77777777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色彩・材料</w:t>
            </w:r>
          </w:p>
          <w:p w14:paraId="7286EFEA" w14:textId="77777777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7911" w:type="dxa"/>
            <w:shd w:val="clear" w:color="auto" w:fill="auto"/>
          </w:tcPr>
          <w:p w14:paraId="3DAED7EC" w14:textId="77777777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樹木との関係に配慮し、地域の雰囲気を損なわない「地域で推奨する色彩」を使用するように努めること。ただし、「地域で推奨する色彩」以外を使用する場合は、景観シミュレーションを作成し、事前協議すること。</w:t>
            </w:r>
          </w:p>
        </w:tc>
        <w:tc>
          <w:tcPr>
            <w:tcW w:w="658" w:type="dxa"/>
            <w:vMerge w:val="restart"/>
            <w:vAlign w:val="center"/>
          </w:tcPr>
          <w:p w14:paraId="6DEA720D" w14:textId="129D743D" w:rsidR="00E15C65" w:rsidRPr="005356C3" w:rsidRDefault="005356C3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□</w:t>
            </w:r>
          </w:p>
        </w:tc>
      </w:tr>
      <w:tr w:rsidR="00E15C65" w:rsidRPr="005356C3" w14:paraId="6324484C" w14:textId="5626415A" w:rsidTr="007D6BE1">
        <w:trPr>
          <w:trHeight w:val="345"/>
        </w:trPr>
        <w:tc>
          <w:tcPr>
            <w:tcW w:w="1181" w:type="dxa"/>
            <w:vMerge/>
            <w:shd w:val="clear" w:color="auto" w:fill="auto"/>
          </w:tcPr>
          <w:p w14:paraId="15013758" w14:textId="77777777" w:rsidR="00E15C65" w:rsidRPr="005356C3" w:rsidRDefault="00E15C65" w:rsidP="005356C3">
            <w:pPr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</w:p>
        </w:tc>
        <w:tc>
          <w:tcPr>
            <w:tcW w:w="7911" w:type="dxa"/>
            <w:shd w:val="clear" w:color="auto" w:fill="auto"/>
          </w:tcPr>
          <w:p w14:paraId="6AB4D646" w14:textId="77777777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・対比効果の大きい色彩（色相・明度・彩度）の組合せは避けるように努めること。</w:t>
            </w:r>
          </w:p>
        </w:tc>
        <w:tc>
          <w:tcPr>
            <w:tcW w:w="658" w:type="dxa"/>
            <w:vMerge/>
            <w:vAlign w:val="center"/>
          </w:tcPr>
          <w:p w14:paraId="14A5F170" w14:textId="77777777" w:rsidR="00E15C65" w:rsidRPr="005356C3" w:rsidRDefault="00E15C65" w:rsidP="005356C3">
            <w:pPr>
              <w:pStyle w:val="a9"/>
              <w:spacing w:line="25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</w:p>
        </w:tc>
      </w:tr>
      <w:tr w:rsidR="00E15C65" w:rsidRPr="005356C3" w14:paraId="0D9DA78D" w14:textId="3D2C2410" w:rsidTr="007D6BE1">
        <w:trPr>
          <w:trHeight w:val="642"/>
        </w:trPr>
        <w:tc>
          <w:tcPr>
            <w:tcW w:w="1181" w:type="dxa"/>
            <w:shd w:val="clear" w:color="auto" w:fill="auto"/>
          </w:tcPr>
          <w:p w14:paraId="226541EF" w14:textId="77777777" w:rsidR="007D6BE1" w:rsidRDefault="00E15C65" w:rsidP="005356C3">
            <w:pPr>
              <w:spacing w:line="276" w:lineRule="auto"/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敷地の</w:t>
            </w:r>
          </w:p>
          <w:p w14:paraId="01F67DBB" w14:textId="018D3CE1" w:rsidR="00E15C65" w:rsidRPr="005356C3" w:rsidRDefault="00E15C65" w:rsidP="005356C3">
            <w:pPr>
              <w:spacing w:line="276" w:lineRule="auto"/>
              <w:ind w:left="630" w:hangingChars="300" w:hanging="630"/>
              <w:rPr>
                <w:rFonts w:ascii="UD デジタル 教科書体 NP-R" w:eastAsia="UD デジタル 教科書体 NP-R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color w:val="000000" w:themeColor="text1"/>
                <w:szCs w:val="21"/>
              </w:rPr>
              <w:t>緑化</w:t>
            </w:r>
          </w:p>
        </w:tc>
        <w:tc>
          <w:tcPr>
            <w:tcW w:w="7911" w:type="dxa"/>
            <w:shd w:val="clear" w:color="auto" w:fill="auto"/>
          </w:tcPr>
          <w:p w14:paraId="6842148C" w14:textId="3CDAC0A4" w:rsidR="00E15C65" w:rsidRPr="005356C3" w:rsidRDefault="00E15C65" w:rsidP="005356C3">
            <w:pPr>
              <w:pStyle w:val="a9"/>
              <w:spacing w:line="30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 w:rsidRPr="005356C3"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・白川沿岸の既存の緑に配慮し、緑の連続性や統一感を生み出すよう、道路側及び川側の敷地内の緑化に努めること。</w:t>
            </w:r>
          </w:p>
        </w:tc>
        <w:tc>
          <w:tcPr>
            <w:tcW w:w="658" w:type="dxa"/>
            <w:vAlign w:val="center"/>
          </w:tcPr>
          <w:p w14:paraId="61705380" w14:textId="02784530" w:rsidR="00E15C65" w:rsidRPr="005356C3" w:rsidRDefault="005356C3" w:rsidP="005356C3">
            <w:pPr>
              <w:pStyle w:val="a9"/>
              <w:spacing w:line="300" w:lineRule="exact"/>
              <w:ind w:leftChars="100" w:left="210" w:firstLineChars="0" w:firstLine="0"/>
              <w:rPr>
                <w:rFonts w:ascii="UD デジタル 教科書体 NP-R" w:eastAsia="UD デジタル 教科書体 NP-R" w:hAnsiTheme="minorHAnsi"/>
                <w:color w:val="000000" w:themeColor="text1"/>
                <w:szCs w:val="21"/>
              </w:rPr>
            </w:pPr>
            <w:r>
              <w:rPr>
                <w:rFonts w:ascii="UD デジタル 教科書体 NP-R" w:eastAsia="UD デジタル 教科書体 NP-R" w:hAnsiTheme="minorHAnsi" w:hint="eastAsia"/>
                <w:color w:val="000000" w:themeColor="text1"/>
                <w:szCs w:val="21"/>
              </w:rPr>
              <w:t>□</w:t>
            </w:r>
          </w:p>
        </w:tc>
      </w:tr>
    </w:tbl>
    <w:p w14:paraId="51276BEA" w14:textId="6B0271B2" w:rsidR="00CE392D" w:rsidRPr="005356C3" w:rsidRDefault="00CE392D" w:rsidP="002558A4">
      <w:pPr>
        <w:rPr>
          <w:rFonts w:ascii="UD デジタル 教科書体 NP-R" w:eastAsia="UD デジタル 教科書体 NP-R"/>
          <w:szCs w:val="21"/>
        </w:rPr>
      </w:pPr>
    </w:p>
    <w:p w14:paraId="7860BEF2" w14:textId="37C429D7" w:rsidR="00150014" w:rsidRPr="00F73EEF" w:rsidRDefault="00150014" w:rsidP="00150014">
      <w:pPr>
        <w:rPr>
          <w:rFonts w:ascii="UD デジタル 教科書体 NP-R" w:eastAsia="UD デジタル 教科書体 NP-R"/>
          <w:szCs w:val="21"/>
          <w:shd w:val="pct15" w:color="auto" w:fill="FFFFFF"/>
        </w:rPr>
      </w:pPr>
      <w:r w:rsidRPr="00F73EEF">
        <w:rPr>
          <w:rFonts w:ascii="UD デジタル 教科書体 NP-R" w:eastAsia="UD デジタル 教科書体 NP-R" w:hint="eastAsia"/>
          <w:szCs w:val="21"/>
          <w:shd w:val="pct15" w:color="auto" w:fill="FFFFFF"/>
        </w:rPr>
        <w:t>上表を確認後、下記事項を確認しチェック（</w:t>
      </w:r>
      <w:r w:rsidRPr="00F73EEF">
        <w:rPr>
          <w:rFonts w:ascii="Segoe UI Symbol" w:eastAsia="UD デジタル 教科書体 NP-R" w:hAnsi="Segoe UI Symbol" w:cs="Segoe UI Symbol"/>
          <w:szCs w:val="21"/>
          <w:shd w:val="pct15" w:color="auto" w:fill="FFFFFF"/>
        </w:rPr>
        <w:t>☑</w:t>
      </w:r>
      <w:r w:rsidRPr="00F73EEF">
        <w:rPr>
          <w:rFonts w:ascii="UD デジタル 教科書体 NP-R" w:eastAsia="UD デジタル 教科書体 NP-R" w:hint="eastAsia"/>
          <w:szCs w:val="21"/>
          <w:shd w:val="pct15" w:color="auto" w:fill="FFFFFF"/>
        </w:rPr>
        <w:t>）</w:t>
      </w:r>
      <w:r w:rsidR="00BB35A5">
        <w:rPr>
          <w:rFonts w:ascii="UD デジタル 教科書体 NP-R" w:eastAsia="UD デジタル 教科書体 NP-R" w:hint="eastAsia"/>
          <w:szCs w:val="21"/>
          <w:shd w:val="pct15" w:color="auto" w:fill="FFFFFF"/>
        </w:rPr>
        <w:t>して</w:t>
      </w:r>
      <w:r w:rsidRPr="00F73EEF">
        <w:rPr>
          <w:rFonts w:ascii="UD デジタル 教科書体 NP-R" w:eastAsia="UD デジタル 教科書体 NP-R" w:hint="eastAsia"/>
          <w:szCs w:val="21"/>
          <w:shd w:val="pct15" w:color="auto" w:fill="FFFFFF"/>
        </w:rPr>
        <w:t>下さい。</w:t>
      </w:r>
    </w:p>
    <w:tbl>
      <w:tblPr>
        <w:tblStyle w:val="aa"/>
        <w:tblW w:w="978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150014" w:rsidRPr="005356C3" w14:paraId="24C39759" w14:textId="77777777" w:rsidTr="007D6BE1">
        <w:tc>
          <w:tcPr>
            <w:tcW w:w="1134" w:type="dxa"/>
          </w:tcPr>
          <w:p w14:paraId="328A5189" w14:textId="77777777" w:rsidR="00150014" w:rsidRPr="005356C3" w:rsidRDefault="00150014" w:rsidP="00986483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P-R" w:eastAsia="UD デジタル 教科書体 NP-R"/>
                <w:szCs w:val="21"/>
              </w:rPr>
            </w:pPr>
          </w:p>
        </w:tc>
        <w:tc>
          <w:tcPr>
            <w:tcW w:w="8647" w:type="dxa"/>
          </w:tcPr>
          <w:p w14:paraId="7F66C5EA" w14:textId="44D8CD08" w:rsidR="00150014" w:rsidRPr="005356C3" w:rsidRDefault="00150014" w:rsidP="00986483">
            <w:pPr>
              <w:rPr>
                <w:rFonts w:ascii="UD デジタル 教科書体 NP-R" w:eastAsia="UD デジタル 教科書体 NP-R"/>
                <w:szCs w:val="21"/>
              </w:rPr>
            </w:pPr>
            <w:r w:rsidRPr="005356C3">
              <w:rPr>
                <w:rFonts w:ascii="UD デジタル 教科書体 NP-R" w:eastAsia="UD デジタル 教科書体 NP-R" w:hint="eastAsia"/>
                <w:szCs w:val="21"/>
              </w:rPr>
              <w:t>熊本城周辺地域の対岸に位置している場合、熊本城周辺地域の一般地区の高さ（海抜高さ55ｍ）を超える高さではない。</w:t>
            </w:r>
          </w:p>
        </w:tc>
      </w:tr>
    </w:tbl>
    <w:p w14:paraId="57D0A5B6" w14:textId="7A720E41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0499DD56" w14:textId="1DCCDA53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56E070D3" w14:textId="7B554436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1126CB99" w14:textId="185D695A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529F6115" w14:textId="475C5618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3C5FAD09" w14:textId="3D7E15B3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29134F4B" w14:textId="64D5ACDC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74557219" w14:textId="0D0724CB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661B2F06" w14:textId="3BE7EA9F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4B20AFC0" w14:textId="4003385C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5695F291" w14:textId="51879A03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5A2C5029" w14:textId="710C2463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79DCCE97" w14:textId="26EE74F6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2509CFD2" w14:textId="04766596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4D23EB1B" w14:textId="75FF4CD0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p w14:paraId="5E32B7E1" w14:textId="5AC5175E" w:rsidR="00FE1EBB" w:rsidRPr="005356C3" w:rsidRDefault="00FE1EBB" w:rsidP="002558A4">
      <w:pPr>
        <w:rPr>
          <w:rFonts w:ascii="UD デジタル 教科書体 NP-R" w:eastAsia="UD デジタル 教科書体 NP-R"/>
          <w:szCs w:val="21"/>
        </w:rPr>
      </w:pPr>
    </w:p>
    <w:sectPr w:rsidR="00FE1EBB" w:rsidRPr="005356C3" w:rsidSect="00FF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D196" w14:textId="77777777" w:rsidR="00B31B3D" w:rsidRDefault="00B31B3D" w:rsidP="00FF2BFC">
      <w:r>
        <w:separator/>
      </w:r>
    </w:p>
  </w:endnote>
  <w:endnote w:type="continuationSeparator" w:id="0">
    <w:p w14:paraId="1CB419E9" w14:textId="77777777" w:rsidR="00B31B3D" w:rsidRDefault="00B31B3D" w:rsidP="00FF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B690" w14:textId="77777777" w:rsidR="0023023E" w:rsidRDefault="002302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F7C2" w14:textId="77777777" w:rsidR="0023023E" w:rsidRDefault="002302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773A" w14:textId="77777777" w:rsidR="0023023E" w:rsidRDefault="00230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5B30" w14:textId="77777777" w:rsidR="00B31B3D" w:rsidRDefault="00B31B3D" w:rsidP="00FF2BFC">
      <w:r>
        <w:separator/>
      </w:r>
    </w:p>
  </w:footnote>
  <w:footnote w:type="continuationSeparator" w:id="0">
    <w:p w14:paraId="0A879259" w14:textId="77777777" w:rsidR="00B31B3D" w:rsidRDefault="00B31B3D" w:rsidP="00FF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00ED" w14:textId="77777777" w:rsidR="0023023E" w:rsidRDefault="002302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4E80" w14:textId="5868E39A" w:rsidR="0023023E" w:rsidRPr="0023023E" w:rsidRDefault="0023023E" w:rsidP="0023023E">
    <w:pPr>
      <w:pStyle w:val="a3"/>
      <w:ind w:firstLineChars="4300" w:firstLine="9030"/>
      <w:rPr>
        <w:rFonts w:ascii="BIZ UDPゴシック" w:eastAsia="BIZ UDPゴシック" w:hAnsi="BIZ UDPゴシック"/>
      </w:rPr>
    </w:pPr>
    <w:r w:rsidRPr="0023023E">
      <w:rPr>
        <w:rFonts w:ascii="BIZ UDPゴシック" w:eastAsia="BIZ UDPゴシック" w:hAnsi="BIZ UDPゴシック" w:hint="eastAsia"/>
      </w:rPr>
      <w:t>３－６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218" w14:textId="77777777" w:rsidR="0023023E" w:rsidRDefault="002302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423"/>
    <w:multiLevelType w:val="hybridMultilevel"/>
    <w:tmpl w:val="767AC9AA"/>
    <w:lvl w:ilvl="0" w:tplc="F8207718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0E4B23"/>
    <w:multiLevelType w:val="hybridMultilevel"/>
    <w:tmpl w:val="B044A774"/>
    <w:lvl w:ilvl="0" w:tplc="5F3C0554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37E7422"/>
    <w:multiLevelType w:val="hybridMultilevel"/>
    <w:tmpl w:val="79DA3E46"/>
    <w:lvl w:ilvl="0" w:tplc="65FCCE6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6D04C4"/>
    <w:multiLevelType w:val="hybridMultilevel"/>
    <w:tmpl w:val="4F108F88"/>
    <w:lvl w:ilvl="0" w:tplc="507612C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658222">
    <w:abstractNumId w:val="3"/>
  </w:num>
  <w:num w:numId="2" w16cid:durableId="1933315495">
    <w:abstractNumId w:val="0"/>
  </w:num>
  <w:num w:numId="3" w16cid:durableId="44184905">
    <w:abstractNumId w:val="2"/>
  </w:num>
  <w:num w:numId="4" w16cid:durableId="211898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D"/>
    <w:rsid w:val="00032C0B"/>
    <w:rsid w:val="00051DC8"/>
    <w:rsid w:val="000563B0"/>
    <w:rsid w:val="0006207E"/>
    <w:rsid w:val="00065F1B"/>
    <w:rsid w:val="0007657A"/>
    <w:rsid w:val="000A5F53"/>
    <w:rsid w:val="000B5781"/>
    <w:rsid w:val="000B6E49"/>
    <w:rsid w:val="000C12EF"/>
    <w:rsid w:val="00101C35"/>
    <w:rsid w:val="0013533E"/>
    <w:rsid w:val="00150014"/>
    <w:rsid w:val="00182324"/>
    <w:rsid w:val="00184BF0"/>
    <w:rsid w:val="00187A73"/>
    <w:rsid w:val="001A6000"/>
    <w:rsid w:val="001A627E"/>
    <w:rsid w:val="001B0896"/>
    <w:rsid w:val="001B236B"/>
    <w:rsid w:val="001D2F4D"/>
    <w:rsid w:val="001D72EB"/>
    <w:rsid w:val="00212635"/>
    <w:rsid w:val="00212D11"/>
    <w:rsid w:val="0023023E"/>
    <w:rsid w:val="00231A4B"/>
    <w:rsid w:val="0023613E"/>
    <w:rsid w:val="002558A4"/>
    <w:rsid w:val="002577BC"/>
    <w:rsid w:val="00267431"/>
    <w:rsid w:val="00282081"/>
    <w:rsid w:val="00284B02"/>
    <w:rsid w:val="002B1697"/>
    <w:rsid w:val="002B76CE"/>
    <w:rsid w:val="003044D9"/>
    <w:rsid w:val="00311398"/>
    <w:rsid w:val="00360352"/>
    <w:rsid w:val="00365C03"/>
    <w:rsid w:val="00382D1C"/>
    <w:rsid w:val="003830D7"/>
    <w:rsid w:val="00394647"/>
    <w:rsid w:val="003C12BB"/>
    <w:rsid w:val="003D288C"/>
    <w:rsid w:val="003F3849"/>
    <w:rsid w:val="0040116A"/>
    <w:rsid w:val="00405955"/>
    <w:rsid w:val="004354AA"/>
    <w:rsid w:val="0045647F"/>
    <w:rsid w:val="00463DD8"/>
    <w:rsid w:val="00464E66"/>
    <w:rsid w:val="004A3406"/>
    <w:rsid w:val="004B36BA"/>
    <w:rsid w:val="004B66BD"/>
    <w:rsid w:val="004C60B2"/>
    <w:rsid w:val="004E3D7E"/>
    <w:rsid w:val="004F486F"/>
    <w:rsid w:val="004F501F"/>
    <w:rsid w:val="004F5BFE"/>
    <w:rsid w:val="0052365D"/>
    <w:rsid w:val="0052402A"/>
    <w:rsid w:val="00524D04"/>
    <w:rsid w:val="005356C3"/>
    <w:rsid w:val="00570F37"/>
    <w:rsid w:val="005B1116"/>
    <w:rsid w:val="00603C26"/>
    <w:rsid w:val="00617A1B"/>
    <w:rsid w:val="00672C03"/>
    <w:rsid w:val="00675F27"/>
    <w:rsid w:val="00676E7C"/>
    <w:rsid w:val="00677903"/>
    <w:rsid w:val="006840D8"/>
    <w:rsid w:val="006855DD"/>
    <w:rsid w:val="006A2B57"/>
    <w:rsid w:val="006B4E8D"/>
    <w:rsid w:val="006C7D87"/>
    <w:rsid w:val="006D5B88"/>
    <w:rsid w:val="006E38BD"/>
    <w:rsid w:val="006F7016"/>
    <w:rsid w:val="007050C7"/>
    <w:rsid w:val="00722F77"/>
    <w:rsid w:val="00734AC7"/>
    <w:rsid w:val="00772D37"/>
    <w:rsid w:val="0078209D"/>
    <w:rsid w:val="007D6BE1"/>
    <w:rsid w:val="007E56E9"/>
    <w:rsid w:val="007F0C44"/>
    <w:rsid w:val="007F2141"/>
    <w:rsid w:val="00807DCE"/>
    <w:rsid w:val="008564C7"/>
    <w:rsid w:val="00864493"/>
    <w:rsid w:val="00870F9A"/>
    <w:rsid w:val="00873662"/>
    <w:rsid w:val="008769A7"/>
    <w:rsid w:val="008961B9"/>
    <w:rsid w:val="008F00AA"/>
    <w:rsid w:val="008F122C"/>
    <w:rsid w:val="009151CE"/>
    <w:rsid w:val="00930434"/>
    <w:rsid w:val="00936105"/>
    <w:rsid w:val="009421F6"/>
    <w:rsid w:val="00973C7D"/>
    <w:rsid w:val="00982ACD"/>
    <w:rsid w:val="0099675A"/>
    <w:rsid w:val="009B76DB"/>
    <w:rsid w:val="009E5B56"/>
    <w:rsid w:val="00A70957"/>
    <w:rsid w:val="00AB1833"/>
    <w:rsid w:val="00AD7819"/>
    <w:rsid w:val="00AF6F1A"/>
    <w:rsid w:val="00B2775C"/>
    <w:rsid w:val="00B30A9D"/>
    <w:rsid w:val="00B31B3D"/>
    <w:rsid w:val="00B62C26"/>
    <w:rsid w:val="00B63244"/>
    <w:rsid w:val="00BA0CB3"/>
    <w:rsid w:val="00BB3111"/>
    <w:rsid w:val="00BB35A5"/>
    <w:rsid w:val="00BC2771"/>
    <w:rsid w:val="00BC38A8"/>
    <w:rsid w:val="00BF5CBA"/>
    <w:rsid w:val="00C22EE5"/>
    <w:rsid w:val="00C50B49"/>
    <w:rsid w:val="00C5694A"/>
    <w:rsid w:val="00C70FC1"/>
    <w:rsid w:val="00C819AC"/>
    <w:rsid w:val="00CB1FFC"/>
    <w:rsid w:val="00CE2692"/>
    <w:rsid w:val="00CE3272"/>
    <w:rsid w:val="00CE392D"/>
    <w:rsid w:val="00D12FF5"/>
    <w:rsid w:val="00D215AE"/>
    <w:rsid w:val="00D37C0B"/>
    <w:rsid w:val="00D470A9"/>
    <w:rsid w:val="00D70FBE"/>
    <w:rsid w:val="00D75328"/>
    <w:rsid w:val="00D87E33"/>
    <w:rsid w:val="00DA3679"/>
    <w:rsid w:val="00DC7525"/>
    <w:rsid w:val="00DF4FA7"/>
    <w:rsid w:val="00DF67F6"/>
    <w:rsid w:val="00E12A0C"/>
    <w:rsid w:val="00E15C65"/>
    <w:rsid w:val="00E23B4C"/>
    <w:rsid w:val="00E32E0F"/>
    <w:rsid w:val="00E46206"/>
    <w:rsid w:val="00E575C3"/>
    <w:rsid w:val="00E57EAA"/>
    <w:rsid w:val="00E62678"/>
    <w:rsid w:val="00E76914"/>
    <w:rsid w:val="00E945FD"/>
    <w:rsid w:val="00E9666F"/>
    <w:rsid w:val="00ED7C4B"/>
    <w:rsid w:val="00ED7FF4"/>
    <w:rsid w:val="00F47D18"/>
    <w:rsid w:val="00F73EEF"/>
    <w:rsid w:val="00F76371"/>
    <w:rsid w:val="00F7697A"/>
    <w:rsid w:val="00F77416"/>
    <w:rsid w:val="00FA6057"/>
    <w:rsid w:val="00FE1EBB"/>
    <w:rsid w:val="00FF280F"/>
    <w:rsid w:val="00FF2BF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A31D4"/>
  <w15:chartTrackingRefBased/>
  <w15:docId w15:val="{FA65B9FF-F896-490F-9168-CF97A192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FC"/>
  </w:style>
  <w:style w:type="paragraph" w:styleId="a5">
    <w:name w:val="footer"/>
    <w:basedOn w:val="a"/>
    <w:link w:val="a6"/>
    <w:uiPriority w:val="99"/>
    <w:unhideWhenUsed/>
    <w:rsid w:val="00FF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FC"/>
  </w:style>
  <w:style w:type="paragraph" w:customStyle="1" w:styleId="a7">
    <w:name w:val="１．本文"/>
    <w:basedOn w:val="a"/>
    <w:rsid w:val="006D5B88"/>
    <w:pPr>
      <w:ind w:leftChars="100" w:left="100"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a8">
    <w:name w:val="①"/>
    <w:basedOn w:val="a"/>
    <w:rsid w:val="006D5B88"/>
    <w:pPr>
      <w:ind w:leftChars="400" w:left="400"/>
    </w:pPr>
    <w:rPr>
      <w:rFonts w:ascii="Century" w:eastAsia="HG丸ｺﾞｼｯｸM-PRO" w:hAnsi="Century" w:cs="Times New Roman"/>
      <w:szCs w:val="24"/>
    </w:rPr>
  </w:style>
  <w:style w:type="paragraph" w:customStyle="1" w:styleId="a9">
    <w:name w:val="・箇条書き"/>
    <w:basedOn w:val="a"/>
    <w:rsid w:val="006D5B88"/>
    <w:pPr>
      <w:ind w:leftChars="300" w:left="400" w:hangingChars="100" w:hanging="100"/>
    </w:pPr>
    <w:rPr>
      <w:rFonts w:ascii="Century" w:eastAsia="HG丸ｺﾞｼｯｸM-PRO" w:hAnsi="Century" w:cs="Times New Roman"/>
      <w:szCs w:val="24"/>
    </w:rPr>
  </w:style>
  <w:style w:type="table" w:styleId="aa">
    <w:name w:val="Table Grid"/>
    <w:basedOn w:val="a1"/>
    <w:uiPriority w:val="39"/>
    <w:rsid w:val="0094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0FBE"/>
    <w:pPr>
      <w:ind w:leftChars="400" w:left="840"/>
    </w:pPr>
  </w:style>
  <w:style w:type="paragraph" w:customStyle="1" w:styleId="ac">
    <w:name w:val="Ⅰ"/>
    <w:basedOn w:val="a"/>
    <w:rsid w:val="00570F37"/>
    <w:rPr>
      <w:rFonts w:ascii="HG丸ｺﾞｼｯｸM-PRO" w:eastAsia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D8ED-8D3A-4B07-90EF-5C1CF2B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　昌典</dc:creator>
  <cp:keywords/>
  <dc:description/>
  <cp:lastModifiedBy>鎌田　早希</cp:lastModifiedBy>
  <cp:revision>55</cp:revision>
  <cp:lastPrinted>2023-11-22T07:45:00Z</cp:lastPrinted>
  <dcterms:created xsi:type="dcterms:W3CDTF">2023-10-17T09:30:00Z</dcterms:created>
  <dcterms:modified xsi:type="dcterms:W3CDTF">2024-02-19T02:49:00Z</dcterms:modified>
</cp:coreProperties>
</file>