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09B" w14:textId="332C3D2F" w:rsidR="00DF67F6" w:rsidRPr="007D4886" w:rsidRDefault="00DF67F6" w:rsidP="00DF67F6">
      <w:pPr>
        <w:rPr>
          <w:rFonts w:ascii="BIZ UDPゴシック" w:eastAsia="BIZ UDPゴシック" w:hAnsi="BIZ UDPゴシック"/>
          <w:sz w:val="24"/>
          <w:szCs w:val="24"/>
        </w:rPr>
      </w:pPr>
      <w:r w:rsidRPr="007D4886">
        <w:rPr>
          <w:rFonts w:ascii="BIZ UDPゴシック" w:eastAsia="BIZ UDPゴシック" w:hAnsi="BIZ UDPゴシック" w:hint="eastAsia"/>
          <w:sz w:val="24"/>
          <w:szCs w:val="24"/>
        </w:rPr>
        <w:t>３．</w:t>
      </w:r>
      <w:r w:rsidR="0099675A" w:rsidRPr="007D4886">
        <w:rPr>
          <w:rFonts w:ascii="BIZ UDPゴシック" w:eastAsia="BIZ UDPゴシック" w:hAnsi="BIZ UDPゴシック" w:hint="eastAsia"/>
          <w:sz w:val="24"/>
          <w:szCs w:val="24"/>
        </w:rPr>
        <w:t>大規模行為における重点地域ごとの</w:t>
      </w:r>
      <w:r w:rsidR="008564C7" w:rsidRPr="007D4886">
        <w:rPr>
          <w:rFonts w:ascii="BIZ UDPゴシック" w:eastAsia="BIZ UDPゴシック" w:hAnsi="BIZ UDPゴシック" w:hint="eastAsia"/>
          <w:sz w:val="24"/>
          <w:szCs w:val="24"/>
        </w:rPr>
        <w:t>視点場と眺望・</w:t>
      </w:r>
      <w:r w:rsidR="0099675A" w:rsidRPr="007D4886">
        <w:rPr>
          <w:rFonts w:ascii="BIZ UDPゴシック" w:eastAsia="BIZ UDPゴシック" w:hAnsi="BIZ UDPゴシック" w:hint="eastAsia"/>
          <w:sz w:val="24"/>
          <w:szCs w:val="24"/>
        </w:rPr>
        <w:t>景観形成基準</w:t>
      </w:r>
      <w:r w:rsidR="004E3347" w:rsidRPr="007D4886">
        <w:rPr>
          <w:rFonts w:ascii="BIZ UDPゴシック" w:eastAsia="BIZ UDPゴシック" w:hAnsi="BIZ UDPゴシック" w:hint="eastAsia"/>
          <w:sz w:val="24"/>
          <w:szCs w:val="24"/>
        </w:rPr>
        <w:t>等</w:t>
      </w:r>
    </w:p>
    <w:p w14:paraId="6CB5C517" w14:textId="55CDE4D8" w:rsidR="0099675A" w:rsidRDefault="0099675A" w:rsidP="00DF67F6">
      <w:pPr>
        <w:rPr>
          <w:rFonts w:ascii="BIZ UDPゴシック" w:eastAsia="BIZ UDPゴシック" w:hAnsi="BIZ UDPゴシック"/>
          <w:sz w:val="22"/>
        </w:rPr>
      </w:pPr>
      <w:r w:rsidRPr="007D4886">
        <w:rPr>
          <w:rFonts w:ascii="BIZ UDPゴシック" w:eastAsia="BIZ UDPゴシック" w:hAnsi="BIZ UDPゴシック" w:hint="eastAsia"/>
          <w:sz w:val="22"/>
        </w:rPr>
        <w:t>３－１．熊本城周辺地域</w:t>
      </w:r>
    </w:p>
    <w:p w14:paraId="56D1173F" w14:textId="77777777" w:rsidR="007D4886" w:rsidRPr="007D4886" w:rsidRDefault="007D4886" w:rsidP="00DF67F6">
      <w:pPr>
        <w:rPr>
          <w:rFonts w:ascii="BIZ UDPゴシック" w:eastAsia="BIZ UDPゴシック" w:hAnsi="BIZ UDPゴシック"/>
          <w:sz w:val="22"/>
        </w:rPr>
      </w:pPr>
    </w:p>
    <w:p w14:paraId="2728133A" w14:textId="0438A7A8" w:rsidR="009421F6" w:rsidRPr="00FF5F18" w:rsidRDefault="008564C7" w:rsidP="008564C7">
      <w:pPr>
        <w:ind w:left="1716" w:hangingChars="780" w:hanging="1716"/>
        <w:rPr>
          <w:rFonts w:ascii="UD デジタル 教科書体 NP-R" w:eastAsia="UD デジタル 教科書体 NP-R"/>
          <w:sz w:val="22"/>
          <w:shd w:val="pct15" w:color="auto" w:fill="FFFFFF"/>
        </w:rPr>
      </w:pPr>
      <w:r w:rsidRPr="00F41492">
        <w:rPr>
          <w:rFonts w:ascii="UD デジタル 教科書体 NP-R" w:eastAsia="UD デジタル 教科書体 NP-R" w:hint="eastAsia"/>
          <w:sz w:val="22"/>
        </w:rPr>
        <w:t>３－１－１．</w:t>
      </w:r>
      <w:r w:rsidR="00311398" w:rsidRPr="00094806">
        <w:rPr>
          <w:rFonts w:ascii="UD デジタル 教科書体 NP-R" w:eastAsia="UD デジタル 教科書体 NP-R" w:hint="eastAsia"/>
          <w:sz w:val="22"/>
          <w:shd w:val="pct15" w:color="auto" w:fill="FFFFFF"/>
        </w:rPr>
        <w:t>視点場</w:t>
      </w:r>
      <w:r w:rsidR="009421F6" w:rsidRPr="00094806">
        <w:rPr>
          <w:rFonts w:ascii="ＭＳ 明朝" w:eastAsia="ＭＳ 明朝" w:hAnsi="ＭＳ 明朝" w:cs="ＭＳ 明朝" w:hint="eastAsia"/>
          <w:sz w:val="22"/>
          <w:shd w:val="pct15" w:color="auto" w:fill="FFFFFF"/>
        </w:rPr>
        <w:t>ⓒ</w:t>
      </w:r>
      <w:r w:rsidR="009421F6" w:rsidRPr="00094806">
        <w:rPr>
          <w:rFonts w:ascii="UD デジタル 教科書体 NP-R" w:eastAsia="UD デジタル 教科書体 NP-R" w:hAnsi="UD デジタル 教科書体 NP-R" w:cs="UD デジタル 教科書体 NP-R" w:hint="eastAsia"/>
          <w:sz w:val="22"/>
          <w:shd w:val="pct15" w:color="auto" w:fill="FFFFFF"/>
        </w:rPr>
        <w:t>～</w:t>
      </w:r>
      <w:r w:rsidR="009421F6" w:rsidRPr="00094806">
        <w:rPr>
          <w:rFonts w:ascii="ＭＳ 明朝" w:eastAsia="ＭＳ 明朝" w:hAnsi="ＭＳ 明朝" w:cs="ＭＳ 明朝" w:hint="eastAsia"/>
          <w:sz w:val="22"/>
          <w:shd w:val="pct15" w:color="auto" w:fill="FFFFFF"/>
        </w:rPr>
        <w:t>ⓔ</w:t>
      </w:r>
      <w:r w:rsidR="009421F6" w:rsidRPr="00094806">
        <w:rPr>
          <w:rFonts w:ascii="UD デジタル 教科書体 NP-R" w:eastAsia="UD デジタル 教科書体 NP-R" w:hAnsi="UD デジタル 教科書体 NP-R" w:cs="UD デジタル 教科書体 NP-R" w:hint="eastAsia"/>
          <w:sz w:val="22"/>
          <w:shd w:val="pct15" w:color="auto" w:fill="FFFFFF"/>
        </w:rPr>
        <w:t>、</w:t>
      </w:r>
      <w:r w:rsidR="009421F6" w:rsidRPr="00094806">
        <w:rPr>
          <w:rFonts w:ascii="ＭＳ 明朝" w:eastAsia="ＭＳ 明朝" w:hAnsi="ＭＳ 明朝" w:cs="ＭＳ 明朝" w:hint="eastAsia"/>
          <w:sz w:val="22"/>
          <w:shd w:val="pct15" w:color="auto" w:fill="FFFFFF"/>
        </w:rPr>
        <w:t>ⓖ</w:t>
      </w:r>
      <w:r w:rsidR="009421F6" w:rsidRPr="00094806">
        <w:rPr>
          <w:rFonts w:ascii="UD デジタル 教科書体 NP-R" w:eastAsia="UD デジタル 教科書体 NP-R" w:hAnsi="UD デジタル 教科書体 NP-R" w:cs="UD デジタル 教科書体 NP-R" w:hint="eastAsia"/>
          <w:sz w:val="22"/>
          <w:shd w:val="pct15" w:color="auto" w:fill="FFFFFF"/>
        </w:rPr>
        <w:t>～</w:t>
      </w:r>
      <w:r w:rsidR="009421F6" w:rsidRPr="00094806">
        <w:rPr>
          <w:rFonts w:ascii="ＭＳ 明朝" w:eastAsia="ＭＳ 明朝" w:hAnsi="ＭＳ 明朝" w:cs="ＭＳ 明朝" w:hint="eastAsia"/>
          <w:sz w:val="22"/>
          <w:shd w:val="pct15" w:color="auto" w:fill="FFFFFF"/>
        </w:rPr>
        <w:t>ⓙ</w:t>
      </w:r>
      <w:r w:rsidR="009421F6" w:rsidRPr="00FF5F18">
        <w:rPr>
          <w:rFonts w:ascii="UD デジタル 教科書体 NP-R" w:eastAsia="UD デジタル 教科書体 NP-R" w:hAnsi="UD デジタル 教科書体 NP-R" w:cs="UD デジタル 教科書体 NP-R" w:hint="eastAsia"/>
          <w:sz w:val="22"/>
          <w:shd w:val="pct15" w:color="auto" w:fill="FFFFFF"/>
        </w:rPr>
        <w:t>の</w:t>
      </w:r>
      <w:r w:rsidR="004F486F" w:rsidRPr="00FF5F18">
        <w:rPr>
          <w:rFonts w:ascii="UD デジタル 教科書体 NP-R" w:eastAsia="UD デジタル 教科書体 NP-R" w:hint="eastAsia"/>
          <w:sz w:val="22"/>
          <w:shd w:val="pct15" w:color="auto" w:fill="FFFFFF"/>
        </w:rPr>
        <w:t>いずれかの</w:t>
      </w:r>
      <w:r w:rsidR="00311398" w:rsidRPr="00FF5F18">
        <w:rPr>
          <w:rFonts w:ascii="UD デジタル 教科書体 NP-R" w:eastAsia="UD デジタル 教科書体 NP-R" w:hint="eastAsia"/>
          <w:sz w:val="22"/>
          <w:shd w:val="pct15" w:color="auto" w:fill="FFFFFF"/>
        </w:rPr>
        <w:t>眺望範囲</w:t>
      </w:r>
      <w:r w:rsidR="009421F6" w:rsidRPr="00FF5F18">
        <w:rPr>
          <w:rFonts w:ascii="UD デジタル 教科書体 NP-R" w:eastAsia="UD デジタル 教科書体 NP-R" w:hint="eastAsia"/>
          <w:sz w:val="22"/>
          <w:shd w:val="pct15" w:color="auto" w:fill="FFFFFF"/>
          <w:vertAlign w:val="superscript"/>
        </w:rPr>
        <w:t>※</w:t>
      </w:r>
      <w:r w:rsidR="00311398" w:rsidRPr="00FF5F18">
        <w:rPr>
          <w:rFonts w:ascii="UD デジタル 教科書体 NP-R" w:eastAsia="UD デジタル 教科書体 NP-R" w:hint="eastAsia"/>
          <w:sz w:val="22"/>
          <w:shd w:val="pct15" w:color="auto" w:fill="FFFFFF"/>
        </w:rPr>
        <w:t>内での行為</w:t>
      </w:r>
      <w:r w:rsidR="009421F6" w:rsidRPr="00FF5F18">
        <w:rPr>
          <w:rFonts w:ascii="UD デジタル 教科書体 NP-R" w:eastAsia="UD デジタル 教科書体 NP-R" w:hint="eastAsia"/>
          <w:sz w:val="22"/>
          <w:shd w:val="pct15" w:color="auto" w:fill="FFFFFF"/>
        </w:rPr>
        <w:t xml:space="preserve">か。　</w:t>
      </w:r>
    </w:p>
    <w:p w14:paraId="7642A79A" w14:textId="1A0FB0E7" w:rsidR="00094806" w:rsidRPr="00716B55" w:rsidRDefault="009421F6" w:rsidP="00B63244">
      <w:pPr>
        <w:ind w:firstLineChars="600" w:firstLine="1320"/>
        <w:rPr>
          <w:rFonts w:ascii="UD デジタル 教科書体 NP-R" w:eastAsia="UD デジタル 教科書体 NP-R" w:hAnsi="UD デジタル 教科書体 NP-R" w:cs="UD デジタル 教科書体 NP-R"/>
          <w:sz w:val="22"/>
        </w:rPr>
      </w:pPr>
      <w:r w:rsidRPr="00716B55">
        <w:rPr>
          <w:rFonts w:ascii="UD デジタル 教科書体 NP-R" w:eastAsia="UD デジタル 教科書体 NP-R" w:hint="eastAsia"/>
          <w:sz w:val="22"/>
        </w:rPr>
        <w:t>□該当する（下表</w:t>
      </w:r>
      <w:r w:rsidR="004E3347" w:rsidRPr="00716B55">
        <w:rPr>
          <w:rFonts w:ascii="UD デジタル 教科書体 NP-R" w:eastAsia="UD デジタル 教科書体 NP-R" w:hint="eastAsia"/>
          <w:sz w:val="22"/>
        </w:rPr>
        <w:t>左欄</w:t>
      </w:r>
      <w:r w:rsidR="00B63244" w:rsidRPr="00716B55">
        <w:rPr>
          <w:rFonts w:ascii="UD デジタル 教科書体 NP-R" w:eastAsia="UD デジタル 教科書体 NP-R" w:hint="eastAsia"/>
          <w:sz w:val="22"/>
        </w:rPr>
        <w:t>の</w:t>
      </w:r>
      <w:r w:rsidR="00094806" w:rsidRPr="00716B55">
        <w:rPr>
          <w:rFonts w:ascii="UD デジタル 教科書体 NP-R" w:eastAsia="UD デジタル 教科書体 NP-R" w:hint="eastAsia"/>
          <w:sz w:val="22"/>
        </w:rPr>
        <w:t>該当</w:t>
      </w:r>
      <w:r w:rsidR="00B63244" w:rsidRPr="00716B55">
        <w:rPr>
          <w:rFonts w:ascii="UD デジタル 教科書体 NP-R" w:eastAsia="UD デジタル 教科書体 NP-R" w:hint="eastAsia"/>
          <w:sz w:val="22"/>
        </w:rPr>
        <w:t>視点場に</w:t>
      </w:r>
      <w:r w:rsidR="00B63244" w:rsidRPr="00716B55">
        <w:rPr>
          <w:rFonts w:ascii="Segoe UI Symbol" w:eastAsia="UD デジタル 教科書体 NP-R" w:hAnsi="Segoe UI Symbol" w:cs="Segoe UI Symbol"/>
          <w:sz w:val="22"/>
        </w:rPr>
        <w:t>☑</w:t>
      </w:r>
      <w:r w:rsidR="00B63244" w:rsidRPr="00716B55">
        <w:rPr>
          <w:rFonts w:ascii="UD デジタル 教科書体 NP-R" w:eastAsia="UD デジタル 教科書体 NP-R" w:hAnsi="UD デジタル 教科書体 NP-R" w:cs="UD デジタル 教科書体 NP-R" w:hint="eastAsia"/>
          <w:sz w:val="22"/>
        </w:rPr>
        <w:t>を入れ、眺望の保全・向上の考え方</w:t>
      </w:r>
      <w:r w:rsidR="00094806" w:rsidRPr="00716B55">
        <w:rPr>
          <w:rFonts w:ascii="UD デジタル 教科書体 NP-R" w:eastAsia="UD デジタル 教科書体 NP-R" w:hAnsi="UD デジタル 教科書体 NP-R" w:cs="UD デジタル 教科書体 NP-R" w:hint="eastAsia"/>
          <w:sz w:val="22"/>
        </w:rPr>
        <w:t>への適合</w:t>
      </w:r>
    </w:p>
    <w:p w14:paraId="4ED48765" w14:textId="34ECAA01" w:rsidR="00B63244" w:rsidRPr="00716B55" w:rsidRDefault="00B63244" w:rsidP="00B63244">
      <w:pPr>
        <w:ind w:firstLineChars="600" w:firstLine="1320"/>
        <w:rPr>
          <w:rFonts w:ascii="UD デジタル 教科書体 NP-R" w:eastAsia="UD デジタル 教科書体 NP-R"/>
          <w:sz w:val="22"/>
        </w:rPr>
      </w:pPr>
      <w:r w:rsidRPr="00716B55">
        <w:rPr>
          <w:rFonts w:ascii="UD デジタル 教科書体 NP-R" w:eastAsia="UD デジタル 教科書体 NP-R" w:hAnsi="UD デジタル 教科書体 NP-R" w:cs="UD デジタル 教科書体 NP-R" w:hint="eastAsia"/>
          <w:sz w:val="22"/>
        </w:rPr>
        <w:t>を確認</w:t>
      </w:r>
      <w:r w:rsidR="00094806" w:rsidRPr="00716B55">
        <w:rPr>
          <w:rFonts w:ascii="UD デジタル 教科書体 NP-R" w:eastAsia="UD デジタル 教科書体 NP-R" w:hAnsi="UD デジタル 教科書体 NP-R" w:cs="UD デジタル 教科書体 NP-R" w:hint="eastAsia"/>
          <w:sz w:val="22"/>
        </w:rPr>
        <w:t>後、右欄にチェック</w:t>
      </w:r>
      <w:r w:rsidR="00094806" w:rsidRPr="00716B55">
        <w:rPr>
          <w:rFonts w:ascii="UD デジタル 教科書体 NP-R" w:eastAsia="UD デジタル 教科書体 NP-R" w:hint="eastAsia"/>
          <w:sz w:val="22"/>
        </w:rPr>
        <w:t>（</w:t>
      </w:r>
      <w:r w:rsidR="00094806" w:rsidRPr="00716B55">
        <w:rPr>
          <w:rFonts w:ascii="Segoe UI Symbol" w:eastAsia="UD デジタル 教科書体 NP-R" w:hAnsi="Segoe UI Symbol" w:cs="Segoe UI Symbol"/>
          <w:sz w:val="22"/>
        </w:rPr>
        <w:t>☑</w:t>
      </w:r>
      <w:r w:rsidR="00094806" w:rsidRPr="00716B55">
        <w:rPr>
          <w:rFonts w:ascii="UD デジタル 教科書体 NP-R" w:eastAsia="UD デジタル 教科書体 NP-R" w:hint="eastAsia"/>
          <w:sz w:val="22"/>
        </w:rPr>
        <w:t>）</w:t>
      </w:r>
      <w:r w:rsidR="00094806" w:rsidRPr="00716B55">
        <w:rPr>
          <w:rFonts w:ascii="UD デジタル 教科書体 NP-R" w:eastAsia="UD デジタル 教科書体 NP-R" w:hAnsi="UD デジタル 教科書体 NP-R" w:cs="UD デジタル 教科書体 NP-R" w:hint="eastAsia"/>
          <w:sz w:val="22"/>
        </w:rPr>
        <w:t>して</w:t>
      </w:r>
      <w:r w:rsidRPr="00716B55">
        <w:rPr>
          <w:rFonts w:ascii="UD デジタル 教科書体 NP-R" w:eastAsia="UD デジタル 教科書体 NP-R" w:hAnsi="UD デジタル 教科書体 NP-R" w:cs="UD デジタル 教科書体 NP-R" w:hint="eastAsia"/>
          <w:sz w:val="22"/>
        </w:rPr>
        <w:t>下さい</w:t>
      </w:r>
      <w:r w:rsidR="009421F6" w:rsidRPr="00716B55">
        <w:rPr>
          <w:rFonts w:ascii="UD デジタル 教科書体 NP-R" w:eastAsia="UD デジタル 教科書体 NP-R" w:hint="eastAsia"/>
          <w:sz w:val="22"/>
        </w:rPr>
        <w:t>）</w:t>
      </w:r>
    </w:p>
    <w:p w14:paraId="4AA5A921" w14:textId="25CD44C9" w:rsidR="00311398" w:rsidRPr="00716B55" w:rsidRDefault="009421F6" w:rsidP="00B63244">
      <w:pPr>
        <w:ind w:firstLineChars="500" w:firstLine="1100"/>
        <w:rPr>
          <w:rFonts w:ascii="UD デジタル 教科書体 NP-R" w:eastAsia="UD デジタル 教科書体 NP-R"/>
          <w:sz w:val="22"/>
        </w:rPr>
      </w:pPr>
      <w:r w:rsidRPr="00716B55">
        <w:rPr>
          <w:rFonts w:ascii="UD デジタル 教科書体 NP-R" w:eastAsia="UD デジタル 教科書体 NP-R" w:hint="eastAsia"/>
          <w:sz w:val="22"/>
        </w:rPr>
        <w:t xml:space="preserve">　□該当しない（３－１－２へ）</w:t>
      </w:r>
    </w:p>
    <w:p w14:paraId="543A3F8D" w14:textId="6FB65445" w:rsidR="009421F6" w:rsidRPr="00F41492" w:rsidRDefault="009421F6" w:rsidP="00F41492">
      <w:pPr>
        <w:rPr>
          <w:rFonts w:ascii="UD デジタル 教科書体 NP-R" w:eastAsia="UD デジタル 教科書体 NP-R"/>
          <w:sz w:val="20"/>
          <w:szCs w:val="20"/>
        </w:rPr>
      </w:pPr>
      <w:r w:rsidRPr="00F41492">
        <w:rPr>
          <w:rFonts w:ascii="UD デジタル 教科書体 NP-R" w:eastAsia="UD デジタル 教科書体 NP-R" w:hint="eastAsia"/>
          <w:sz w:val="20"/>
          <w:szCs w:val="20"/>
        </w:rPr>
        <w:t>（※景観計画第２章第２節３（２）重点地域の景観形成方針 熊本城周辺地域「③視点場と眺望」参照</w:t>
      </w:r>
      <w:r w:rsidR="00FE077B">
        <w:rPr>
          <w:rFonts w:ascii="UD デジタル 教科書体 NP-R" w:eastAsia="UD デジタル 教科書体 NP-R" w:hint="eastAsia"/>
          <w:sz w:val="20"/>
          <w:szCs w:val="20"/>
        </w:rPr>
        <w:t>P</w:t>
      </w:r>
      <w:r w:rsidR="00DA6F46">
        <w:rPr>
          <w:rFonts w:ascii="UD デジタル 教科書体 NP-R" w:eastAsia="UD デジタル 教科書体 NP-R" w:hint="eastAsia"/>
          <w:sz w:val="20"/>
          <w:szCs w:val="20"/>
        </w:rPr>
        <w:t>３２～４１）</w:t>
      </w:r>
    </w:p>
    <w:tbl>
      <w:tblPr>
        <w:tblStyle w:val="aa"/>
        <w:tblW w:w="943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04"/>
        <w:gridCol w:w="7117"/>
        <w:gridCol w:w="517"/>
      </w:tblGrid>
      <w:tr w:rsidR="00677E0C" w:rsidRPr="00F41492" w14:paraId="6081708E" w14:textId="51858594" w:rsidTr="009C5F48">
        <w:trPr>
          <w:trHeight w:val="353"/>
          <w:jc w:val="center"/>
        </w:trPr>
        <w:tc>
          <w:tcPr>
            <w:tcW w:w="1804" w:type="dxa"/>
          </w:tcPr>
          <w:p w14:paraId="7FFF4B7D" w14:textId="12BFDDB4" w:rsidR="00677E0C" w:rsidRPr="00F41492" w:rsidRDefault="00677E0C" w:rsidP="0052365D">
            <w:pPr>
              <w:jc w:val="center"/>
              <w:rPr>
                <w:rFonts w:ascii="UD デジタル 教科書体 NP-R" w:eastAsia="UD デジタル 教科書体 NP-R"/>
                <w:sz w:val="22"/>
              </w:rPr>
            </w:pPr>
            <w:r w:rsidRPr="00F41492">
              <w:rPr>
                <w:rFonts w:ascii="UD デジタル 教科書体 NP-R" w:eastAsia="UD デジタル 教科書体 NP-R" w:hint="eastAsia"/>
                <w:sz w:val="22"/>
              </w:rPr>
              <w:t>視点場</w:t>
            </w:r>
          </w:p>
        </w:tc>
        <w:tc>
          <w:tcPr>
            <w:tcW w:w="7117" w:type="dxa"/>
          </w:tcPr>
          <w:p w14:paraId="7FFFE4F4" w14:textId="10ED79D5" w:rsidR="00677E0C" w:rsidRPr="00F41492" w:rsidRDefault="00677E0C" w:rsidP="0052365D">
            <w:pPr>
              <w:jc w:val="center"/>
              <w:rPr>
                <w:rFonts w:ascii="UD デジタル 教科書体 NP-R" w:eastAsia="UD デジタル 教科書体 NP-R"/>
                <w:sz w:val="22"/>
              </w:rPr>
            </w:pPr>
            <w:r w:rsidRPr="00F41492">
              <w:rPr>
                <w:rFonts w:ascii="UD デジタル 教科書体 NP-R" w:eastAsia="UD デジタル 教科書体 NP-R" w:hint="eastAsia"/>
                <w:sz w:val="22"/>
              </w:rPr>
              <w:t>眺望の保全・向上の考え方</w:t>
            </w:r>
          </w:p>
        </w:tc>
        <w:tc>
          <w:tcPr>
            <w:tcW w:w="517" w:type="dxa"/>
          </w:tcPr>
          <w:p w14:paraId="0A625769" w14:textId="2549F8D7" w:rsidR="00677E0C" w:rsidRPr="00F41492" w:rsidRDefault="00A954FA" w:rsidP="00A954FA">
            <w:pPr>
              <w:rPr>
                <w:rFonts w:ascii="UD デジタル 教科書体 NP-R" w:eastAsia="UD デジタル 教科書体 NP-R"/>
                <w:sz w:val="22"/>
              </w:rPr>
            </w:pPr>
            <w:r w:rsidRPr="00F41492">
              <w:rPr>
                <w:rFonts w:ascii="Segoe UI Symbol" w:eastAsia="UD デジタル 教科書体 NP-R" w:hAnsi="Segoe UI Symbol" w:cs="Segoe UI Symbol"/>
                <w:sz w:val="22"/>
              </w:rPr>
              <w:t>☑</w:t>
            </w:r>
          </w:p>
        </w:tc>
      </w:tr>
      <w:tr w:rsidR="00677E0C" w:rsidRPr="00F41492" w14:paraId="1C038220" w14:textId="79C0060C" w:rsidTr="009C5F48">
        <w:trPr>
          <w:trHeight w:val="1064"/>
          <w:jc w:val="center"/>
        </w:trPr>
        <w:tc>
          <w:tcPr>
            <w:tcW w:w="1804" w:type="dxa"/>
            <w:vMerge w:val="restart"/>
          </w:tcPr>
          <w:p w14:paraId="60C7F1B8" w14:textId="2A301517"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Ansi="UD デジタル 教科書体 NP-R" w:cs="UD デジタル 教科書体 NP-R" w:hint="eastAsia"/>
                <w:sz w:val="22"/>
              </w:rPr>
              <w:t>花畑広場（シンボルプロムナード）</w:t>
            </w:r>
          </w:p>
        </w:tc>
        <w:tc>
          <w:tcPr>
            <w:tcW w:w="7117" w:type="dxa"/>
          </w:tcPr>
          <w:p w14:paraId="7190FC87" w14:textId="34E8D7F1"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花畑広場（シンボルプロムナード）付近の建築物や工作物、屋外広告物の色彩は、地域で推奨する色彩（「</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）を使用し、熊本城天守閣への良好な眺めをさえぎる屋外広告物の掲出を控えます。</w:t>
            </w:r>
          </w:p>
        </w:tc>
        <w:tc>
          <w:tcPr>
            <w:tcW w:w="517" w:type="dxa"/>
            <w:vAlign w:val="center"/>
          </w:tcPr>
          <w:p w14:paraId="56B4EF52" w14:textId="63E66337" w:rsidR="00A954FA"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7ED92034" w14:textId="764E0B75" w:rsidTr="009C5F48">
        <w:trPr>
          <w:trHeight w:val="141"/>
          <w:jc w:val="center"/>
        </w:trPr>
        <w:tc>
          <w:tcPr>
            <w:tcW w:w="1804" w:type="dxa"/>
            <w:vMerge/>
          </w:tcPr>
          <w:p w14:paraId="4DA3BBB9" w14:textId="77777777" w:rsidR="00677E0C" w:rsidRPr="00F41492" w:rsidRDefault="00677E0C" w:rsidP="009421F6">
            <w:pPr>
              <w:rPr>
                <w:rFonts w:ascii="UD デジタル 教科書体 NP-R" w:eastAsia="UD デジタル 教科書体 NP-R"/>
                <w:sz w:val="22"/>
              </w:rPr>
            </w:pPr>
          </w:p>
        </w:tc>
        <w:tc>
          <w:tcPr>
            <w:tcW w:w="7117" w:type="dxa"/>
          </w:tcPr>
          <w:p w14:paraId="1D658798" w14:textId="38B9934B"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花畑広場（シンボルプロムナード）付近での建築物の新築、建替えにおいては可能な限り道路境界から壁面位置を後退させます。</w:t>
            </w:r>
          </w:p>
        </w:tc>
        <w:tc>
          <w:tcPr>
            <w:tcW w:w="517" w:type="dxa"/>
            <w:vAlign w:val="center"/>
          </w:tcPr>
          <w:p w14:paraId="2B1A6C36" w14:textId="7C22DD26"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152EDAA2" w14:textId="2FB60BE4" w:rsidTr="009C5F48">
        <w:trPr>
          <w:trHeight w:val="141"/>
          <w:jc w:val="center"/>
        </w:trPr>
        <w:tc>
          <w:tcPr>
            <w:tcW w:w="1804" w:type="dxa"/>
            <w:vMerge/>
          </w:tcPr>
          <w:p w14:paraId="6AB554D6" w14:textId="77777777" w:rsidR="00677E0C" w:rsidRPr="00F41492" w:rsidRDefault="00677E0C" w:rsidP="009421F6">
            <w:pPr>
              <w:rPr>
                <w:rFonts w:ascii="UD デジタル 教科書体 NP-R" w:eastAsia="UD デジタル 教科書体 NP-R"/>
                <w:sz w:val="22"/>
              </w:rPr>
            </w:pPr>
          </w:p>
        </w:tc>
        <w:tc>
          <w:tcPr>
            <w:tcW w:w="7117" w:type="dxa"/>
          </w:tcPr>
          <w:p w14:paraId="49848FF3" w14:textId="10AB6CB3"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眺望に配慮しつつ、敷地内は可能な限り緑化を図り、周辺の緑と連続させるとともに、適切な維持管理を進めます。</w:t>
            </w:r>
          </w:p>
        </w:tc>
        <w:tc>
          <w:tcPr>
            <w:tcW w:w="517" w:type="dxa"/>
            <w:vAlign w:val="center"/>
          </w:tcPr>
          <w:p w14:paraId="75F2ED1C" w14:textId="74CA3CEF"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5F2490B9" w14:textId="037F4FB9" w:rsidTr="009C5F48">
        <w:trPr>
          <w:trHeight w:val="141"/>
          <w:jc w:val="center"/>
        </w:trPr>
        <w:tc>
          <w:tcPr>
            <w:tcW w:w="1804" w:type="dxa"/>
            <w:vMerge/>
          </w:tcPr>
          <w:p w14:paraId="4186292E" w14:textId="77777777" w:rsidR="00677E0C" w:rsidRPr="00F41492" w:rsidRDefault="00677E0C" w:rsidP="009421F6">
            <w:pPr>
              <w:rPr>
                <w:rFonts w:ascii="UD デジタル 教科書体 NP-R" w:eastAsia="UD デジタル 教科書体 NP-R"/>
                <w:sz w:val="22"/>
              </w:rPr>
            </w:pPr>
          </w:p>
        </w:tc>
        <w:tc>
          <w:tcPr>
            <w:tcW w:w="7117" w:type="dxa"/>
          </w:tcPr>
          <w:p w14:paraId="52E6A99E" w14:textId="1BEDC7CA"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具体的な空間・景観的デザインの考え方については、「桜町・花畑周辺地区まちづくりマネジメント基本計画　第６章デザインガイドライン」を参照して下さい。</w:t>
            </w:r>
          </w:p>
        </w:tc>
        <w:tc>
          <w:tcPr>
            <w:tcW w:w="517" w:type="dxa"/>
            <w:vAlign w:val="center"/>
          </w:tcPr>
          <w:p w14:paraId="46222C1F" w14:textId="6458E44B"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75A5FDEE" w14:textId="280378C8" w:rsidTr="009C5F48">
        <w:trPr>
          <w:trHeight w:val="1064"/>
          <w:jc w:val="center"/>
        </w:trPr>
        <w:tc>
          <w:tcPr>
            <w:tcW w:w="1804" w:type="dxa"/>
          </w:tcPr>
          <w:p w14:paraId="18D0F5EE" w14:textId="667C42A6"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Ansi="UD デジタル 教科書体 NP-R" w:cs="UD デジタル 教科書体 NP-R" w:hint="eastAsia"/>
                <w:sz w:val="22"/>
              </w:rPr>
              <w:t>通町筋電停付近から熊本城への眺望</w:t>
            </w:r>
          </w:p>
        </w:tc>
        <w:tc>
          <w:tcPr>
            <w:tcW w:w="7117" w:type="dxa"/>
          </w:tcPr>
          <w:p w14:paraId="23777471" w14:textId="21CEFEF4"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電車通りの建築物や工作物、屋外広告物の色彩は、地域で推奨する色彩（「</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）を使用し、熊本城天守閣への良好な眺めをさえぎる屋外広告物の掲出を控えます。</w:t>
            </w:r>
          </w:p>
        </w:tc>
        <w:tc>
          <w:tcPr>
            <w:tcW w:w="517" w:type="dxa"/>
            <w:vAlign w:val="center"/>
          </w:tcPr>
          <w:p w14:paraId="283D4A21" w14:textId="2C7BFCD3"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58F54412" w14:textId="525193AD" w:rsidTr="009C5F48">
        <w:trPr>
          <w:trHeight w:val="1420"/>
          <w:jc w:val="center"/>
        </w:trPr>
        <w:tc>
          <w:tcPr>
            <w:tcW w:w="1804" w:type="dxa"/>
          </w:tcPr>
          <w:p w14:paraId="0B3E3816" w14:textId="072832E6"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Ansi="UD デジタル 教科書体 NP-R" w:cs="UD デジタル 教科書体 NP-R" w:hint="eastAsia"/>
                <w:sz w:val="22"/>
              </w:rPr>
              <w:t>長塀通りから熊本城への眺望</w:t>
            </w:r>
          </w:p>
        </w:tc>
        <w:tc>
          <w:tcPr>
            <w:tcW w:w="7117" w:type="dxa"/>
          </w:tcPr>
          <w:p w14:paraId="6CFA694C" w14:textId="0AF2BCD4"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長塀や石垣の歴史的な雰囲気を損ねることがないよう、長塀通りから見える建築物や工作物、屋外広告物の色彩は、地域で推奨する色彩（「</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）を使用し、壁面広告や突出し広告、工作物の掲出を控えます。</w:t>
            </w:r>
          </w:p>
        </w:tc>
        <w:tc>
          <w:tcPr>
            <w:tcW w:w="517" w:type="dxa"/>
            <w:vAlign w:val="center"/>
          </w:tcPr>
          <w:p w14:paraId="1E9B3CD3" w14:textId="788C643B"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72CA636A" w14:textId="4479307C" w:rsidTr="009C5F48">
        <w:trPr>
          <w:trHeight w:val="1064"/>
          <w:jc w:val="center"/>
        </w:trPr>
        <w:tc>
          <w:tcPr>
            <w:tcW w:w="1804" w:type="dxa"/>
            <w:vMerge w:val="restart"/>
          </w:tcPr>
          <w:p w14:paraId="35F9B7BA" w14:textId="598923D3"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int="eastAsia"/>
                <w:sz w:val="22"/>
              </w:rPr>
              <w:t>熊本家庭裁判所前から県立美術館分館付近までの通りから熊本城への眺望</w:t>
            </w:r>
          </w:p>
        </w:tc>
        <w:tc>
          <w:tcPr>
            <w:tcW w:w="7117" w:type="dxa"/>
          </w:tcPr>
          <w:p w14:paraId="480A25F3" w14:textId="56DB8D39"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沿道の建築物の新築や建替えにおいては、周囲のまち並みと調和した高さとし、色彩は地域で推奨する（「</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）色彩を使用します。</w:t>
            </w:r>
          </w:p>
        </w:tc>
        <w:tc>
          <w:tcPr>
            <w:tcW w:w="517" w:type="dxa"/>
            <w:vAlign w:val="center"/>
          </w:tcPr>
          <w:p w14:paraId="7845E9F9" w14:textId="078B3967" w:rsidR="00A954FA"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1A2C5F1A" w14:textId="2D2DE8FF" w:rsidTr="009C5F48">
        <w:trPr>
          <w:trHeight w:val="141"/>
          <w:jc w:val="center"/>
        </w:trPr>
        <w:tc>
          <w:tcPr>
            <w:tcW w:w="1804" w:type="dxa"/>
            <w:vMerge/>
          </w:tcPr>
          <w:p w14:paraId="09960295" w14:textId="77777777" w:rsidR="00677E0C" w:rsidRPr="00F41492" w:rsidRDefault="00677E0C" w:rsidP="009421F6">
            <w:pPr>
              <w:rPr>
                <w:rFonts w:ascii="UD デジタル 教科書体 NP-R" w:eastAsia="UD デジタル 教科書体 NP-R"/>
                <w:sz w:val="22"/>
              </w:rPr>
            </w:pPr>
          </w:p>
        </w:tc>
        <w:tc>
          <w:tcPr>
            <w:tcW w:w="7117" w:type="dxa"/>
          </w:tcPr>
          <w:p w14:paraId="5AEDD310" w14:textId="002E4E0F"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通りから見える看板等の屋外広告物の掲出をできるだけ控えます。</w:t>
            </w:r>
          </w:p>
        </w:tc>
        <w:tc>
          <w:tcPr>
            <w:tcW w:w="517" w:type="dxa"/>
            <w:vAlign w:val="center"/>
          </w:tcPr>
          <w:p w14:paraId="55505C12" w14:textId="552A12C9"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605B64C6" w14:textId="06E90BCA" w:rsidTr="009C5F48">
        <w:trPr>
          <w:trHeight w:val="141"/>
          <w:jc w:val="center"/>
        </w:trPr>
        <w:tc>
          <w:tcPr>
            <w:tcW w:w="1804" w:type="dxa"/>
            <w:vMerge/>
          </w:tcPr>
          <w:p w14:paraId="33491B06" w14:textId="77777777" w:rsidR="00677E0C" w:rsidRPr="00F41492" w:rsidRDefault="00677E0C" w:rsidP="009421F6">
            <w:pPr>
              <w:rPr>
                <w:rFonts w:ascii="UD デジタル 教科書体 NP-R" w:eastAsia="UD デジタル 教科書体 NP-R"/>
                <w:sz w:val="22"/>
              </w:rPr>
            </w:pPr>
          </w:p>
        </w:tc>
        <w:tc>
          <w:tcPr>
            <w:tcW w:w="7117" w:type="dxa"/>
          </w:tcPr>
          <w:p w14:paraId="169E7FF6" w14:textId="598F681F"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沿道の敷地は可能な限り緑化し、柵等を設ける場合は、金網フェンスは使用せず、熊本城との調和に配慮した色彩や意匠とします。</w:t>
            </w:r>
          </w:p>
        </w:tc>
        <w:tc>
          <w:tcPr>
            <w:tcW w:w="517" w:type="dxa"/>
            <w:vAlign w:val="center"/>
          </w:tcPr>
          <w:p w14:paraId="3575F16A" w14:textId="6C320BA3"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693FB796" w14:textId="08BB4FB8" w:rsidTr="009C5F48">
        <w:trPr>
          <w:trHeight w:val="1138"/>
          <w:jc w:val="center"/>
        </w:trPr>
        <w:tc>
          <w:tcPr>
            <w:tcW w:w="1804" w:type="dxa"/>
            <w:vMerge w:val="restart"/>
          </w:tcPr>
          <w:p w14:paraId="2716E364" w14:textId="324CE683"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Ansi="UD デジタル 教科書体 NP-R" w:cs="UD デジタル 教科書体 NP-R" w:hint="eastAsia"/>
                <w:sz w:val="22"/>
              </w:rPr>
              <w:t>桜井通り付近から熊本城への眺望</w:t>
            </w:r>
          </w:p>
        </w:tc>
        <w:tc>
          <w:tcPr>
            <w:tcW w:w="7117" w:type="dxa"/>
          </w:tcPr>
          <w:p w14:paraId="341E4B25" w14:textId="2E9020AE"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桜井通りの建築物や工作物、屋外広告物の色彩は、地域で推奨する色彩（「</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）を使用し、熊本城天守閣への良好な眺めをさえぎる屋外広告物の掲出を控えます。</w:t>
            </w:r>
          </w:p>
        </w:tc>
        <w:tc>
          <w:tcPr>
            <w:tcW w:w="517" w:type="dxa"/>
            <w:vAlign w:val="center"/>
          </w:tcPr>
          <w:p w14:paraId="14EE0204" w14:textId="7416E70D"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49364CAB" w14:textId="09D00176" w:rsidTr="009C5F48">
        <w:trPr>
          <w:trHeight w:val="141"/>
          <w:jc w:val="center"/>
        </w:trPr>
        <w:tc>
          <w:tcPr>
            <w:tcW w:w="1804" w:type="dxa"/>
            <w:vMerge/>
          </w:tcPr>
          <w:p w14:paraId="6CB991ED" w14:textId="7D157A5B" w:rsidR="00677E0C" w:rsidRPr="00F41492" w:rsidRDefault="00677E0C" w:rsidP="009421F6">
            <w:pPr>
              <w:rPr>
                <w:rFonts w:ascii="UD デジタル 教科書体 NP-R" w:eastAsia="UD デジタル 教科書体 NP-R"/>
                <w:sz w:val="22"/>
              </w:rPr>
            </w:pPr>
          </w:p>
        </w:tc>
        <w:tc>
          <w:tcPr>
            <w:tcW w:w="7117" w:type="dxa"/>
          </w:tcPr>
          <w:p w14:paraId="7504613F" w14:textId="77777777" w:rsidR="00677E0C"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沿道の建築物の新築、建替えにおいては可能な限り道路境界から壁面</w:t>
            </w:r>
            <w:r w:rsidRPr="00F41492">
              <w:rPr>
                <w:rFonts w:ascii="UD デジタル 教科書体 NP-R" w:eastAsia="UD デジタル 教科書体 NP-R" w:hint="eastAsia"/>
                <w:sz w:val="22"/>
              </w:rPr>
              <w:lastRenderedPageBreak/>
              <w:t>位置を後退させます。</w:t>
            </w:r>
          </w:p>
          <w:p w14:paraId="14F22512" w14:textId="77777777" w:rsidR="00094806" w:rsidRDefault="00094806" w:rsidP="009421F6">
            <w:pPr>
              <w:rPr>
                <w:rFonts w:ascii="UD デジタル 教科書体 NP-R" w:eastAsia="UD デジタル 教科書体 NP-R"/>
                <w:sz w:val="22"/>
              </w:rPr>
            </w:pPr>
          </w:p>
          <w:p w14:paraId="26202D8E" w14:textId="0348A517" w:rsidR="00094806" w:rsidRPr="00F41492" w:rsidRDefault="00094806" w:rsidP="009421F6">
            <w:pPr>
              <w:rPr>
                <w:rFonts w:ascii="UD デジタル 教科書体 NP-R" w:eastAsia="UD デジタル 教科書体 NP-R"/>
                <w:sz w:val="22"/>
              </w:rPr>
            </w:pPr>
          </w:p>
        </w:tc>
        <w:tc>
          <w:tcPr>
            <w:tcW w:w="517" w:type="dxa"/>
            <w:vAlign w:val="center"/>
          </w:tcPr>
          <w:p w14:paraId="0BD4D394" w14:textId="4E5866CD"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lastRenderedPageBreak/>
              <w:t>□</w:t>
            </w:r>
          </w:p>
        </w:tc>
      </w:tr>
      <w:tr w:rsidR="00677E0C" w:rsidRPr="00F41492" w14:paraId="1F6612A4" w14:textId="7EC581B8" w:rsidTr="009C5F48">
        <w:trPr>
          <w:trHeight w:val="141"/>
          <w:jc w:val="center"/>
        </w:trPr>
        <w:tc>
          <w:tcPr>
            <w:tcW w:w="1804" w:type="dxa"/>
            <w:vMerge w:val="restart"/>
          </w:tcPr>
          <w:p w14:paraId="00249926" w14:textId="3B3F4E94" w:rsidR="00677E0C" w:rsidRPr="00F41492" w:rsidRDefault="00094806"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00677E0C" w:rsidRPr="00F41492">
              <w:rPr>
                <w:rFonts w:ascii="ＭＳ 明朝" w:eastAsia="ＭＳ 明朝" w:hAnsi="ＭＳ 明朝" w:cs="ＭＳ 明朝" w:hint="eastAsia"/>
                <w:sz w:val="22"/>
              </w:rPr>
              <w:t>ⓘ</w:t>
            </w:r>
            <w:r w:rsidR="00677E0C" w:rsidRPr="00F41492">
              <w:rPr>
                <w:rFonts w:ascii="UD デジタル 教科書体 NP-R" w:eastAsia="UD デジタル 教科書体 NP-R" w:hAnsi="UD デジタル 教科書体 NP-R" w:cs="UD デジタル 教科書体 NP-R" w:hint="eastAsia"/>
                <w:sz w:val="22"/>
              </w:rPr>
              <w:t>船場橋から熊本城への眺望</w:t>
            </w:r>
          </w:p>
        </w:tc>
        <w:tc>
          <w:tcPr>
            <w:tcW w:w="7117" w:type="dxa"/>
          </w:tcPr>
          <w:p w14:paraId="1713E681" w14:textId="54772F49"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視点場から見える坪井川沿いの建築物の壁面は、地域で推奨する</w:t>
            </w:r>
            <w:r w:rsidR="00625858">
              <w:rPr>
                <w:rFonts w:ascii="UD デジタル 教科書体 NP-R" w:eastAsia="UD デジタル 教科書体 NP-R" w:hint="eastAsia"/>
                <w:sz w:val="22"/>
              </w:rPr>
              <w:t>色彩</w:t>
            </w:r>
            <w:r w:rsidRPr="00F41492">
              <w:rPr>
                <w:rFonts w:ascii="UD デジタル 教科書体 NP-R" w:eastAsia="UD デジタル 教科書体 NP-R" w:hint="eastAsia"/>
                <w:sz w:val="22"/>
              </w:rPr>
              <w:t>（「</w:t>
            </w:r>
            <w:r w:rsidRPr="00F41492">
              <w:rPr>
                <w:rFonts w:ascii="UD デジタル 教科書体 NP-R" w:eastAsia="UD デジタル 教科書体 NP-R" w:hint="eastAsia"/>
                <w:color w:val="000000" w:themeColor="text1"/>
                <w:sz w:val="22"/>
              </w:rPr>
              <w:t>３－１－２．景観形成基準」参照</w:t>
            </w:r>
            <w:r w:rsidRPr="00F41492">
              <w:rPr>
                <w:rFonts w:ascii="UD デジタル 教科書体 NP-R" w:eastAsia="UD デジタル 教科書体 NP-R" w:hint="eastAsia"/>
                <w:sz w:val="22"/>
              </w:rPr>
              <w:t>）を使用し、屋外広告物の掲出を控えます。</w:t>
            </w:r>
          </w:p>
        </w:tc>
        <w:tc>
          <w:tcPr>
            <w:tcW w:w="517" w:type="dxa"/>
            <w:vAlign w:val="center"/>
          </w:tcPr>
          <w:p w14:paraId="7A0E6F72" w14:textId="627F7426"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27C49302" w14:textId="16D64F25" w:rsidTr="009C5F48">
        <w:trPr>
          <w:trHeight w:val="141"/>
          <w:jc w:val="center"/>
        </w:trPr>
        <w:tc>
          <w:tcPr>
            <w:tcW w:w="1804" w:type="dxa"/>
            <w:vMerge/>
          </w:tcPr>
          <w:p w14:paraId="3D275E35" w14:textId="77777777" w:rsidR="00677E0C" w:rsidRPr="00F41492" w:rsidRDefault="00677E0C" w:rsidP="009421F6">
            <w:pPr>
              <w:rPr>
                <w:rFonts w:ascii="UD デジタル 教科書体 NP-R" w:eastAsia="UD デジタル 教科書体 NP-R"/>
                <w:sz w:val="22"/>
              </w:rPr>
            </w:pPr>
          </w:p>
        </w:tc>
        <w:tc>
          <w:tcPr>
            <w:tcW w:w="7117" w:type="dxa"/>
          </w:tcPr>
          <w:p w14:paraId="2A55FD3C" w14:textId="71A2DBEB"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室外機等の設備等は、可能な限り見えにくい位置に設置または目隠しを施します。</w:t>
            </w:r>
          </w:p>
        </w:tc>
        <w:tc>
          <w:tcPr>
            <w:tcW w:w="517" w:type="dxa"/>
            <w:vAlign w:val="center"/>
          </w:tcPr>
          <w:p w14:paraId="36A6F31E" w14:textId="6C497EDE"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06A11C4E" w14:textId="3DC993F9" w:rsidTr="009C5F48">
        <w:trPr>
          <w:trHeight w:val="141"/>
          <w:jc w:val="center"/>
        </w:trPr>
        <w:tc>
          <w:tcPr>
            <w:tcW w:w="1804" w:type="dxa"/>
            <w:vMerge/>
          </w:tcPr>
          <w:p w14:paraId="66B4AC9C" w14:textId="77777777" w:rsidR="00677E0C" w:rsidRPr="00F41492" w:rsidRDefault="00677E0C" w:rsidP="009421F6">
            <w:pPr>
              <w:rPr>
                <w:rFonts w:ascii="UD デジタル 教科書体 NP-R" w:eastAsia="UD デジタル 教科書体 NP-R"/>
                <w:sz w:val="22"/>
              </w:rPr>
            </w:pPr>
          </w:p>
        </w:tc>
        <w:tc>
          <w:tcPr>
            <w:tcW w:w="7117" w:type="dxa"/>
          </w:tcPr>
          <w:p w14:paraId="3C4EC9FE" w14:textId="2BD68138"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視点場から見える柵等については、熊本城との調和に配慮した色彩や意匠とします。</w:t>
            </w:r>
          </w:p>
        </w:tc>
        <w:tc>
          <w:tcPr>
            <w:tcW w:w="517" w:type="dxa"/>
            <w:vAlign w:val="center"/>
          </w:tcPr>
          <w:p w14:paraId="793E9BA2" w14:textId="1AF7D5AF"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5A837E77" w14:textId="71E5906E" w:rsidTr="009C5F48">
        <w:trPr>
          <w:trHeight w:val="141"/>
          <w:jc w:val="center"/>
        </w:trPr>
        <w:tc>
          <w:tcPr>
            <w:tcW w:w="1804" w:type="dxa"/>
            <w:vMerge w:val="restart"/>
          </w:tcPr>
          <w:p w14:paraId="196E6066" w14:textId="092C3186"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w:t>
            </w:r>
            <w:r w:rsidRPr="00F41492">
              <w:rPr>
                <w:rFonts w:ascii="ＭＳ 明朝" w:eastAsia="ＭＳ 明朝" w:hAnsi="ＭＳ 明朝" w:cs="ＭＳ 明朝" w:hint="eastAsia"/>
                <w:sz w:val="22"/>
              </w:rPr>
              <w:t>ⓙ</w:t>
            </w:r>
            <w:r w:rsidRPr="00F41492">
              <w:rPr>
                <w:rFonts w:ascii="UD デジタル 教科書体 NP-R" w:eastAsia="UD デジタル 教科書体 NP-R" w:hAnsi="UD デジタル 教科書体 NP-R" w:cs="UD デジタル 教科書体 NP-R" w:hint="eastAsia"/>
                <w:sz w:val="22"/>
              </w:rPr>
              <w:t>天守閣から市街地への眺望</w:t>
            </w:r>
          </w:p>
        </w:tc>
        <w:tc>
          <w:tcPr>
            <w:tcW w:w="7117" w:type="dxa"/>
          </w:tcPr>
          <w:p w14:paraId="3A74FA21" w14:textId="736C208E"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建築物や工作物、屋外広告等の高さは、周囲のまち並みや山並みに調和するスカイライン（※1）の形成を図るよう配慮するとともに、色彩については高彩度色の使用を控えます。（※1：空を背景とした山岳や建築物の輪郭線）</w:t>
            </w:r>
          </w:p>
        </w:tc>
        <w:tc>
          <w:tcPr>
            <w:tcW w:w="517" w:type="dxa"/>
            <w:vAlign w:val="center"/>
          </w:tcPr>
          <w:p w14:paraId="0EE2D276" w14:textId="4D44F62F" w:rsidR="00677E0C" w:rsidRPr="00F41492" w:rsidRDefault="0090261C" w:rsidP="00A954FA">
            <w:pPr>
              <w:rPr>
                <w:rFonts w:ascii="UD デジタル 教科書体 NP-R" w:eastAsia="UD デジタル 教科書体 NP-R"/>
                <w:sz w:val="22"/>
              </w:rPr>
            </w:pPr>
            <w:r>
              <w:rPr>
                <w:rFonts w:ascii="UD デジタル 教科書体 NP-R" w:eastAsia="UD デジタル 教科書体 NP-R" w:hint="eastAsia"/>
                <w:sz w:val="22"/>
              </w:rPr>
              <w:t>□</w:t>
            </w:r>
          </w:p>
        </w:tc>
      </w:tr>
      <w:tr w:rsidR="00677E0C" w:rsidRPr="00F41492" w14:paraId="09808EF1" w14:textId="2EB0AE25" w:rsidTr="009C5F48">
        <w:trPr>
          <w:trHeight w:val="141"/>
          <w:jc w:val="center"/>
        </w:trPr>
        <w:tc>
          <w:tcPr>
            <w:tcW w:w="1804" w:type="dxa"/>
            <w:vMerge/>
          </w:tcPr>
          <w:p w14:paraId="30179A0A" w14:textId="77777777" w:rsidR="00677E0C" w:rsidRPr="00F41492" w:rsidRDefault="00677E0C" w:rsidP="009421F6">
            <w:pPr>
              <w:rPr>
                <w:rFonts w:ascii="UD デジタル 教科書体 NP-R" w:eastAsia="UD デジタル 教科書体 NP-R"/>
                <w:sz w:val="22"/>
              </w:rPr>
            </w:pPr>
          </w:p>
        </w:tc>
        <w:tc>
          <w:tcPr>
            <w:tcW w:w="7117" w:type="dxa"/>
          </w:tcPr>
          <w:p w14:paraId="147D4960" w14:textId="1CEFE89A" w:rsidR="00677E0C" w:rsidRPr="00F41492" w:rsidRDefault="00677E0C" w:rsidP="009421F6">
            <w:pPr>
              <w:rPr>
                <w:rFonts w:ascii="UD デジタル 教科書体 NP-R" w:eastAsia="UD デジタル 教科書体 NP-R"/>
                <w:sz w:val="22"/>
              </w:rPr>
            </w:pPr>
            <w:r w:rsidRPr="00F41492">
              <w:rPr>
                <w:rFonts w:ascii="UD デジタル 教科書体 NP-R" w:eastAsia="UD デジタル 教科書体 NP-R" w:hint="eastAsia"/>
                <w:sz w:val="22"/>
              </w:rPr>
              <w:t>遠くまで広がる市街地の連続性を阻害しないよう、熊本城周囲の建築物の新築、建替えにおいては、可能な限り分節等の工夫により長大な壁面が発生しないようにします。</w:t>
            </w:r>
          </w:p>
        </w:tc>
        <w:tc>
          <w:tcPr>
            <w:tcW w:w="517" w:type="dxa"/>
            <w:vAlign w:val="center"/>
          </w:tcPr>
          <w:p w14:paraId="4B157A89" w14:textId="3C09AD5A" w:rsidR="00677E0C" w:rsidRPr="00F41492" w:rsidRDefault="0090261C" w:rsidP="009421F6">
            <w:pPr>
              <w:rPr>
                <w:rFonts w:ascii="UD デジタル 教科書体 NP-R" w:eastAsia="UD デジタル 教科書体 NP-R"/>
                <w:sz w:val="22"/>
              </w:rPr>
            </w:pPr>
            <w:r>
              <w:rPr>
                <w:rFonts w:ascii="UD デジタル 教科書体 NP-R" w:eastAsia="UD デジタル 教科書体 NP-R" w:hint="eastAsia"/>
                <w:sz w:val="22"/>
              </w:rPr>
              <w:t>□</w:t>
            </w:r>
          </w:p>
        </w:tc>
      </w:tr>
    </w:tbl>
    <w:p w14:paraId="5436E071" w14:textId="556C4862" w:rsidR="00CB1FFC" w:rsidRPr="00F41492" w:rsidRDefault="00CB1FFC" w:rsidP="00CE2692">
      <w:pPr>
        <w:rPr>
          <w:rFonts w:ascii="UD デジタル 教科書体 NP-R" w:eastAsia="UD デジタル 教科書体 NP-R"/>
          <w:sz w:val="22"/>
        </w:rPr>
      </w:pPr>
      <w:r w:rsidRPr="00F41492">
        <w:rPr>
          <w:rFonts w:ascii="UD デジタル 教科書体 NP-R" w:eastAsia="UD デジタル 教科書体 NP-R" w:hint="eastAsia"/>
          <w:sz w:val="22"/>
        </w:rPr>
        <w:t>３－１－２．景観形成基準</w:t>
      </w:r>
    </w:p>
    <w:p w14:paraId="754B3E16" w14:textId="5E488CF2" w:rsidR="0023613E" w:rsidRPr="00FF5F18" w:rsidRDefault="00094806" w:rsidP="003C12BB">
      <w:pPr>
        <w:ind w:firstLineChars="100" w:firstLine="220"/>
        <w:rPr>
          <w:rFonts w:ascii="UD デジタル 教科書体 NP-R" w:eastAsia="UD デジタル 教科書体 NP-R"/>
          <w:sz w:val="22"/>
          <w:shd w:val="pct15" w:color="auto" w:fill="FFFFFF"/>
        </w:rPr>
      </w:pPr>
      <w:r>
        <w:rPr>
          <w:rFonts w:ascii="UD デジタル 教科書体 NP-R" w:eastAsia="UD デジタル 教科書体 NP-R" w:hint="eastAsia"/>
          <w:sz w:val="22"/>
          <w:shd w:val="pct15" w:color="auto" w:fill="FFFFFF"/>
        </w:rPr>
        <w:t>下表の</w:t>
      </w:r>
      <w:r w:rsidR="00E9666F" w:rsidRPr="00FF5F18">
        <w:rPr>
          <w:rFonts w:ascii="UD デジタル 教科書体 NP-R" w:eastAsia="UD デジタル 教科書体 NP-R" w:hint="eastAsia"/>
          <w:sz w:val="22"/>
          <w:shd w:val="pct15" w:color="auto" w:fill="FFFFFF"/>
        </w:rPr>
        <w:t>景観形成基準</w:t>
      </w:r>
      <w:r>
        <w:rPr>
          <w:rFonts w:ascii="UD デジタル 教科書体 NP-R" w:eastAsia="UD デジタル 教科書体 NP-R" w:hint="eastAsia"/>
          <w:sz w:val="22"/>
          <w:shd w:val="pct15" w:color="auto" w:fill="FFFFFF"/>
        </w:rPr>
        <w:t>への適合を</w:t>
      </w:r>
      <w:r w:rsidR="0023613E" w:rsidRPr="00FF5F18">
        <w:rPr>
          <w:rFonts w:ascii="UD デジタル 教科書体 NP-R" w:eastAsia="UD デジタル 教科書体 NP-R" w:hint="eastAsia"/>
          <w:sz w:val="22"/>
          <w:shd w:val="pct15" w:color="auto" w:fill="FFFFFF"/>
        </w:rPr>
        <w:t>確認後、右欄にチェック（</w:t>
      </w:r>
      <w:r w:rsidR="0023613E" w:rsidRPr="00FF5F18">
        <w:rPr>
          <w:rFonts w:ascii="Segoe UI Symbol" w:eastAsia="UD デジタル 教科書体 NP-R" w:hAnsi="Segoe UI Symbol" w:cs="Segoe UI Symbol"/>
          <w:sz w:val="22"/>
          <w:shd w:val="pct15" w:color="auto" w:fill="FFFFFF"/>
        </w:rPr>
        <w:t>☑</w:t>
      </w:r>
      <w:r w:rsidR="0023613E" w:rsidRPr="00FF5F18">
        <w:rPr>
          <w:rFonts w:ascii="UD デジタル 教科書体 NP-R" w:eastAsia="UD デジタル 教科書体 NP-R" w:hint="eastAsia"/>
          <w:sz w:val="22"/>
          <w:shd w:val="pct15" w:color="auto" w:fill="FFFFFF"/>
        </w:rPr>
        <w:t>）</w:t>
      </w:r>
      <w:r>
        <w:rPr>
          <w:rFonts w:ascii="UD デジタル 教科書体 NP-R" w:eastAsia="UD デジタル 教科書体 NP-R" w:hint="eastAsia"/>
          <w:sz w:val="22"/>
          <w:shd w:val="pct15" w:color="auto" w:fill="FFFFFF"/>
        </w:rPr>
        <w:t>して</w:t>
      </w:r>
      <w:r w:rsidR="0023613E" w:rsidRPr="00FF5F18">
        <w:rPr>
          <w:rFonts w:ascii="UD デジタル 教科書体 NP-R" w:eastAsia="UD デジタル 教科書体 NP-R" w:hint="eastAsia"/>
          <w:sz w:val="22"/>
          <w:shd w:val="pct15" w:color="auto" w:fill="FFFFFF"/>
        </w:rPr>
        <w:t>下さい。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53"/>
        <w:gridCol w:w="7716"/>
        <w:gridCol w:w="514"/>
      </w:tblGrid>
      <w:tr w:rsidR="0023613E" w:rsidRPr="00F41492" w14:paraId="7B745F73" w14:textId="31DBEAE2" w:rsidTr="009C5F48">
        <w:trPr>
          <w:trHeight w:val="313"/>
          <w:jc w:val="center"/>
        </w:trPr>
        <w:tc>
          <w:tcPr>
            <w:tcW w:w="1153" w:type="dxa"/>
            <w:shd w:val="clear" w:color="auto" w:fill="auto"/>
            <w:vAlign w:val="center"/>
          </w:tcPr>
          <w:p w14:paraId="77FA55FD" w14:textId="26D46959" w:rsidR="0023613E" w:rsidRPr="00F41492" w:rsidRDefault="0023613E" w:rsidP="00225A9B">
            <w:pPr>
              <w:spacing w:line="220" w:lineRule="exact"/>
              <w:jc w:val="center"/>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項目</w:t>
            </w:r>
          </w:p>
        </w:tc>
        <w:tc>
          <w:tcPr>
            <w:tcW w:w="7716" w:type="dxa"/>
            <w:shd w:val="clear" w:color="auto" w:fill="auto"/>
            <w:vAlign w:val="center"/>
          </w:tcPr>
          <w:p w14:paraId="59C1D0CE" w14:textId="77777777" w:rsidR="0023613E" w:rsidRPr="00F41492" w:rsidRDefault="0023613E" w:rsidP="00225A9B">
            <w:pPr>
              <w:spacing w:line="220" w:lineRule="exact"/>
              <w:jc w:val="center"/>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基準</w:t>
            </w:r>
          </w:p>
        </w:tc>
        <w:tc>
          <w:tcPr>
            <w:tcW w:w="514" w:type="dxa"/>
          </w:tcPr>
          <w:p w14:paraId="5CCEB2F9" w14:textId="228F20A2" w:rsidR="0023613E" w:rsidRPr="00F41492" w:rsidRDefault="0023613E" w:rsidP="00225A9B">
            <w:pPr>
              <w:spacing w:line="220" w:lineRule="exact"/>
              <w:jc w:val="center"/>
              <w:rPr>
                <w:rFonts w:ascii="UD デジタル 教科書体 NP-R" w:eastAsia="UD デジタル 教科書体 NP-R"/>
                <w:color w:val="000000" w:themeColor="text1"/>
                <w:sz w:val="22"/>
              </w:rPr>
            </w:pPr>
            <w:r w:rsidRPr="00F41492">
              <w:rPr>
                <w:rFonts w:ascii="Segoe UI Symbol" w:eastAsia="UD デジタル 教科書体 NP-R" w:hAnsi="Segoe UI Symbol" w:cs="Segoe UI Symbol"/>
                <w:sz w:val="22"/>
              </w:rPr>
              <w:t>☑</w:t>
            </w:r>
          </w:p>
        </w:tc>
      </w:tr>
      <w:tr w:rsidR="0023613E" w:rsidRPr="00F41492" w14:paraId="60005D20" w14:textId="00B4D041" w:rsidTr="009C5F48">
        <w:trPr>
          <w:trHeight w:val="517"/>
          <w:jc w:val="center"/>
        </w:trPr>
        <w:tc>
          <w:tcPr>
            <w:tcW w:w="1153" w:type="dxa"/>
            <w:vMerge w:val="restart"/>
            <w:shd w:val="clear" w:color="auto" w:fill="auto"/>
            <w:vAlign w:val="center"/>
          </w:tcPr>
          <w:p w14:paraId="3A7EBF35" w14:textId="5D366FC9" w:rsidR="0023613E" w:rsidRPr="00F41492" w:rsidRDefault="0023613E" w:rsidP="00225A9B">
            <w:pPr>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基本事項</w:t>
            </w:r>
          </w:p>
        </w:tc>
        <w:tc>
          <w:tcPr>
            <w:tcW w:w="7716" w:type="dxa"/>
            <w:shd w:val="clear" w:color="auto" w:fill="auto"/>
          </w:tcPr>
          <w:p w14:paraId="0355381A" w14:textId="09514011" w:rsidR="0023613E" w:rsidRPr="00F41492" w:rsidRDefault="0023613E" w:rsidP="0006207E">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視点場からの眺望の保全・向上に努め、必要に応じて景観シミュレーション</w:t>
            </w:r>
            <w:r w:rsidRPr="00F41492">
              <w:rPr>
                <w:rFonts w:ascii="UD デジタル 教科書体 NP-R" w:eastAsia="UD デジタル 教科書体 NP-R" w:hAnsiTheme="minorHAnsi" w:hint="eastAsia"/>
                <w:color w:val="000000" w:themeColor="text1"/>
                <w:sz w:val="22"/>
                <w:szCs w:val="22"/>
                <w:vertAlign w:val="superscript"/>
              </w:rPr>
              <w:t>※１</w:t>
            </w:r>
            <w:r w:rsidRPr="00F41492">
              <w:rPr>
                <w:rFonts w:ascii="UD デジタル 教科書体 NP-R" w:eastAsia="UD デジタル 教科書体 NP-R" w:hAnsiTheme="minorHAnsi" w:hint="eastAsia"/>
                <w:color w:val="000000" w:themeColor="text1"/>
                <w:sz w:val="22"/>
                <w:szCs w:val="22"/>
              </w:rPr>
              <w:t>を作成し、景観影響を確認すること。</w:t>
            </w:r>
          </w:p>
          <w:p w14:paraId="132DD2E5" w14:textId="05371A7C" w:rsidR="0023613E" w:rsidRPr="00094806" w:rsidRDefault="0023613E" w:rsidP="0006207E">
            <w:pPr>
              <w:pStyle w:val="a9"/>
              <w:spacing w:line="250" w:lineRule="exact"/>
              <w:ind w:leftChars="100" w:left="210" w:firstLineChars="0" w:firstLine="0"/>
              <w:jc w:val="left"/>
              <w:rPr>
                <w:rFonts w:ascii="UD デジタル 教科書体 NP-R" w:eastAsia="UD デジタル 教科書体 NP-R" w:hAnsiTheme="minorHAnsi"/>
                <w:color w:val="000000" w:themeColor="text1"/>
                <w:sz w:val="16"/>
                <w:szCs w:val="16"/>
              </w:rPr>
            </w:pPr>
            <w:r w:rsidRPr="00094806">
              <w:rPr>
                <w:rFonts w:ascii="UD デジタル 教科書体 NP-R" w:eastAsia="UD デジタル 教科書体 NP-R" w:hAnsiTheme="minorHAnsi" w:hint="eastAsia"/>
                <w:color w:val="000000" w:themeColor="text1"/>
                <w:sz w:val="16"/>
                <w:szCs w:val="16"/>
              </w:rPr>
              <w:t>※１現況写真をもとに計画建物等の完成予想図を合成し、実際に建設した様子に近い景観を観察し、その景観上からの影響を評価するもの</w:t>
            </w:r>
          </w:p>
        </w:tc>
        <w:tc>
          <w:tcPr>
            <w:tcW w:w="514" w:type="dxa"/>
            <w:vMerge w:val="restart"/>
            <w:vAlign w:val="center"/>
          </w:tcPr>
          <w:p w14:paraId="33A60044" w14:textId="2BCD1876" w:rsidR="0023613E" w:rsidRPr="00F41492" w:rsidRDefault="004E23D9" w:rsidP="0023613E">
            <w:pPr>
              <w:pStyle w:val="a9"/>
              <w:spacing w:line="250" w:lineRule="exact"/>
              <w:ind w:leftChars="0" w:left="0" w:firstLineChars="50" w:firstLine="110"/>
              <w:jc w:val="left"/>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23613E" w:rsidRPr="00F41492" w14:paraId="4A6C56B9" w14:textId="02650275" w:rsidTr="009C5F48">
        <w:trPr>
          <w:trHeight w:val="552"/>
          <w:jc w:val="center"/>
        </w:trPr>
        <w:tc>
          <w:tcPr>
            <w:tcW w:w="1153" w:type="dxa"/>
            <w:vMerge/>
            <w:shd w:val="clear" w:color="auto" w:fill="auto"/>
            <w:vAlign w:val="center"/>
          </w:tcPr>
          <w:p w14:paraId="76B73735" w14:textId="77777777" w:rsidR="0023613E" w:rsidRPr="00F41492" w:rsidRDefault="0023613E" w:rsidP="00225A9B">
            <w:pPr>
              <w:rPr>
                <w:rFonts w:ascii="UD デジタル 教科書体 NP-R" w:eastAsia="UD デジタル 教科書体 NP-R"/>
                <w:color w:val="000000" w:themeColor="text1"/>
                <w:sz w:val="22"/>
              </w:rPr>
            </w:pPr>
          </w:p>
        </w:tc>
        <w:tc>
          <w:tcPr>
            <w:tcW w:w="7716" w:type="dxa"/>
            <w:shd w:val="clear" w:color="auto" w:fill="auto"/>
          </w:tcPr>
          <w:p w14:paraId="6DCDEA48" w14:textId="4FD6DDDD"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本基準の内容の確認と合わせて、景観形成方針（</w:t>
            </w:r>
            <w:r w:rsidR="00094806">
              <w:rPr>
                <w:rFonts w:ascii="UD デジタル 教科書体 NP-R" w:eastAsia="UD デジタル 教科書体 NP-R" w:hAnsiTheme="minorHAnsi" w:hint="eastAsia"/>
                <w:color w:val="000000" w:themeColor="text1"/>
                <w:sz w:val="22"/>
                <w:szCs w:val="22"/>
              </w:rPr>
              <w:t>景観計画</w:t>
            </w:r>
            <w:r w:rsidRPr="00F41492">
              <w:rPr>
                <w:rFonts w:ascii="UD デジタル 教科書体 NP-R" w:eastAsia="UD デジタル 教科書体 NP-R" w:hAnsiTheme="minorHAnsi" w:hint="eastAsia"/>
                <w:color w:val="000000" w:themeColor="text1"/>
                <w:sz w:val="22"/>
                <w:szCs w:val="22"/>
              </w:rPr>
              <w:t>第２章第２節）の内容を確認すること。</w:t>
            </w:r>
          </w:p>
        </w:tc>
        <w:tc>
          <w:tcPr>
            <w:tcW w:w="514" w:type="dxa"/>
            <w:vMerge/>
            <w:vAlign w:val="center"/>
          </w:tcPr>
          <w:p w14:paraId="781BE1A2" w14:textId="77777777"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3613E" w:rsidRPr="00F41492" w14:paraId="6FEAC85F" w14:textId="60AC02F8" w:rsidTr="009C5F48">
        <w:trPr>
          <w:trHeight w:val="742"/>
          <w:jc w:val="center"/>
        </w:trPr>
        <w:tc>
          <w:tcPr>
            <w:tcW w:w="1153" w:type="dxa"/>
            <w:vMerge/>
            <w:shd w:val="clear" w:color="auto" w:fill="auto"/>
            <w:vAlign w:val="center"/>
          </w:tcPr>
          <w:p w14:paraId="3947DFA8" w14:textId="77777777" w:rsidR="0023613E" w:rsidRPr="00F41492" w:rsidRDefault="0023613E" w:rsidP="00225A9B">
            <w:pPr>
              <w:rPr>
                <w:rFonts w:ascii="UD デジタル 教科書体 NP-R" w:eastAsia="UD デジタル 教科書体 NP-R"/>
                <w:color w:val="000000" w:themeColor="text1"/>
                <w:sz w:val="22"/>
              </w:rPr>
            </w:pPr>
          </w:p>
        </w:tc>
        <w:tc>
          <w:tcPr>
            <w:tcW w:w="7716" w:type="dxa"/>
            <w:shd w:val="clear" w:color="auto" w:fill="auto"/>
          </w:tcPr>
          <w:p w14:paraId="155C11D1" w14:textId="4C386C38"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新町・古町においては、</w:t>
            </w:r>
            <w:r w:rsidRPr="00F41492">
              <w:rPr>
                <w:rFonts w:ascii="UD デジタル 教科書体 NP-R" w:eastAsia="UD デジタル 教科書体 NP-R" w:hAnsiTheme="minorHAnsi" w:hint="eastAsia"/>
                <w:color w:val="000000" w:themeColor="text1"/>
                <w:sz w:val="22"/>
                <w:szCs w:val="22"/>
                <w:u w:val="single"/>
              </w:rPr>
              <w:t>「新町・古町地区の城下町の風情を感じられる 町並みづくりガイドライン」</w:t>
            </w:r>
            <w:r w:rsidRPr="00F41492">
              <w:rPr>
                <w:rFonts w:ascii="UD デジタル 教科書体 NP-R" w:eastAsia="UD デジタル 教科書体 NP-R" w:hAnsiTheme="minorHAnsi" w:hint="eastAsia"/>
                <w:color w:val="000000" w:themeColor="text1"/>
                <w:sz w:val="22"/>
                <w:szCs w:val="22"/>
              </w:rPr>
              <w:t>、桜町・花畑周辺においては、</w:t>
            </w:r>
            <w:r w:rsidRPr="00F41492">
              <w:rPr>
                <w:rFonts w:ascii="UD デジタル 教科書体 NP-R" w:eastAsia="UD デジタル 教科書体 NP-R" w:hAnsiTheme="minorHAnsi" w:hint="eastAsia"/>
                <w:color w:val="000000" w:themeColor="text1"/>
                <w:sz w:val="22"/>
                <w:szCs w:val="22"/>
                <w:u w:val="single"/>
              </w:rPr>
              <w:t>「桜町・花畑周辺地区まちづくりマネジメント基本計画　第６章デザインガイドライン」</w:t>
            </w:r>
            <w:r w:rsidRPr="00F41492">
              <w:rPr>
                <w:rFonts w:ascii="UD デジタル 教科書体 NP-R" w:eastAsia="UD デジタル 教科書体 NP-R" w:hAnsiTheme="minorHAnsi" w:hint="eastAsia"/>
                <w:color w:val="000000" w:themeColor="text1"/>
                <w:sz w:val="22"/>
                <w:szCs w:val="22"/>
              </w:rPr>
              <w:t>を参考とし、地域景観を阻害しないよう配慮すること。</w:t>
            </w:r>
          </w:p>
        </w:tc>
        <w:tc>
          <w:tcPr>
            <w:tcW w:w="514" w:type="dxa"/>
            <w:vMerge/>
            <w:vAlign w:val="center"/>
          </w:tcPr>
          <w:p w14:paraId="41FAC7AC" w14:textId="77777777"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3613E" w:rsidRPr="00F41492" w14:paraId="1EA1161F" w14:textId="4CCAFAAF" w:rsidTr="009C5F48">
        <w:trPr>
          <w:trHeight w:val="692"/>
          <w:jc w:val="center"/>
        </w:trPr>
        <w:tc>
          <w:tcPr>
            <w:tcW w:w="1153" w:type="dxa"/>
            <w:vMerge w:val="restart"/>
            <w:shd w:val="clear" w:color="auto" w:fill="auto"/>
          </w:tcPr>
          <w:p w14:paraId="14BF6946" w14:textId="77777777" w:rsidR="009C5F48" w:rsidRDefault="0023613E" w:rsidP="00603C26">
            <w:pPr>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位置・</w:t>
            </w:r>
          </w:p>
          <w:p w14:paraId="4B1DD413" w14:textId="5705CE12" w:rsidR="0023613E" w:rsidRPr="00F41492" w:rsidRDefault="0023613E" w:rsidP="00603C26">
            <w:pPr>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高さ</w:t>
            </w:r>
          </w:p>
        </w:tc>
        <w:tc>
          <w:tcPr>
            <w:tcW w:w="7716" w:type="dxa"/>
            <w:shd w:val="clear" w:color="auto" w:fill="auto"/>
          </w:tcPr>
          <w:p w14:paraId="77A561AD" w14:textId="2B9C7BC2"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建築物等の位置を道路境界から後退させること等によって、可能な限り熊本城の石垣と緑への眺望、ゆとりある歩行者空間の確保に努めること。</w:t>
            </w:r>
          </w:p>
        </w:tc>
        <w:tc>
          <w:tcPr>
            <w:tcW w:w="514" w:type="dxa"/>
            <w:vMerge w:val="restart"/>
            <w:vAlign w:val="center"/>
          </w:tcPr>
          <w:p w14:paraId="21FFE651" w14:textId="68C6AB67" w:rsidR="0023613E" w:rsidRPr="00F41492" w:rsidRDefault="004E23D9" w:rsidP="0023613E">
            <w:pPr>
              <w:pStyle w:val="a9"/>
              <w:spacing w:line="250" w:lineRule="exact"/>
              <w:ind w:leftChars="0" w:left="0" w:firstLineChars="50" w:firstLine="11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23613E" w:rsidRPr="00F41492" w14:paraId="48E13C05" w14:textId="713363A0" w:rsidTr="009C5F48">
        <w:trPr>
          <w:trHeight w:val="411"/>
          <w:jc w:val="center"/>
        </w:trPr>
        <w:tc>
          <w:tcPr>
            <w:tcW w:w="1153" w:type="dxa"/>
            <w:vMerge/>
            <w:shd w:val="clear" w:color="auto" w:fill="auto"/>
          </w:tcPr>
          <w:p w14:paraId="357D8374"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p>
        </w:tc>
        <w:tc>
          <w:tcPr>
            <w:tcW w:w="7716" w:type="dxa"/>
            <w:shd w:val="clear" w:color="auto" w:fill="auto"/>
          </w:tcPr>
          <w:p w14:paraId="1CF1E497" w14:textId="64EEDE03"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建築物等の高さは、ランドマークとしての熊本城への眺望及び熊本城天守閣からの眺望を保全するために、以下のとおりとする。</w:t>
            </w:r>
          </w:p>
          <w:p w14:paraId="06DB2B2F" w14:textId="77777777" w:rsidR="0023613E" w:rsidRPr="00F41492" w:rsidRDefault="0023613E" w:rsidP="00E32E0F">
            <w:pPr>
              <w:spacing w:beforeLines="50" w:before="180" w:line="250" w:lineRule="exact"/>
              <w:ind w:firstLineChars="100" w:firstLine="22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■熊本城特別地区　　　　　　　　　■京町台地地区</w:t>
            </w:r>
          </w:p>
          <w:p w14:paraId="211451A3" w14:textId="77777777" w:rsidR="0023613E" w:rsidRPr="00F41492" w:rsidRDefault="0023613E" w:rsidP="00E32E0F">
            <w:pPr>
              <w:pStyle w:val="a9"/>
              <w:spacing w:line="250" w:lineRule="exact"/>
              <w:ind w:leftChars="200" w:left="42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・海抜50ｍを超えないこと。　　　　・海抜63ｍを超えないこと。</w:t>
            </w:r>
          </w:p>
          <w:p w14:paraId="238CB076" w14:textId="77777777" w:rsidR="0023613E" w:rsidRPr="00F41492" w:rsidRDefault="0023613E" w:rsidP="00E32E0F">
            <w:pPr>
              <w:spacing w:line="250" w:lineRule="exact"/>
              <w:ind w:firstLineChars="100" w:firstLine="22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■一般地区</w:t>
            </w:r>
          </w:p>
          <w:p w14:paraId="675A54F7" w14:textId="77777777" w:rsidR="0023613E" w:rsidRPr="00F41492" w:rsidRDefault="0023613E" w:rsidP="00E32E0F">
            <w:pPr>
              <w:pStyle w:val="a9"/>
              <w:spacing w:line="250" w:lineRule="exact"/>
              <w:ind w:leftChars="100" w:left="210" w:firstLineChars="100" w:firstLine="22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・海抜55ｍを超えないこと。</w:t>
            </w:r>
          </w:p>
          <w:p w14:paraId="65D2A624" w14:textId="4D191CD0" w:rsidR="0023613E" w:rsidRDefault="0023613E" w:rsidP="00E32E0F">
            <w:pPr>
              <w:pStyle w:val="a9"/>
              <w:spacing w:line="250" w:lineRule="exact"/>
              <w:ind w:leftChars="0" w:left="220" w:hanging="22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・ただし、熊本城特別地区を除き、都市計画法に基づく高度利用地区等</w:t>
            </w:r>
            <w:r w:rsidRPr="00F41492">
              <w:rPr>
                <w:rFonts w:ascii="UD デジタル 教科書体 NP-R" w:eastAsia="UD デジタル 教科書体 NP-R" w:hAnsiTheme="minorHAnsi" w:hint="eastAsia"/>
                <w:color w:val="000000" w:themeColor="text1"/>
                <w:sz w:val="22"/>
                <w:szCs w:val="22"/>
                <w:vertAlign w:val="superscript"/>
              </w:rPr>
              <w:t>※２</w:t>
            </w:r>
            <w:r w:rsidRPr="00F41492">
              <w:rPr>
                <w:rFonts w:ascii="UD デジタル 教科書体 NP-R" w:eastAsia="UD デジタル 教科書体 NP-R" w:hAnsiTheme="minorHAnsi" w:hint="eastAsia"/>
                <w:color w:val="000000" w:themeColor="text1"/>
                <w:sz w:val="22"/>
                <w:szCs w:val="22"/>
              </w:rPr>
              <w:t>に指定予定の地区における建築物等は、市長が熊本市景観審議会の意見を聴き良好な景観形成に支障がないと認めた範囲内において、景観形成基準に定められた高さを超えることができる。</w:t>
            </w:r>
            <w:r w:rsidR="00625858" w:rsidRPr="00625858">
              <w:rPr>
                <w:rFonts w:ascii="UD デジタル 教科書体 NP-R" w:eastAsia="UD デジタル 教科書体 NP-R" w:hAnsiTheme="minorHAnsi" w:hint="eastAsia"/>
                <w:color w:val="000000" w:themeColor="text1"/>
                <w:sz w:val="22"/>
                <w:szCs w:val="22"/>
              </w:rPr>
              <w:t>（景観計画第３章第２節</w:t>
            </w:r>
            <w:r w:rsidR="005756B9">
              <w:rPr>
                <w:rFonts w:ascii="UD デジタル 教科書体 NP-R" w:eastAsia="UD デジタル 教科書体 NP-R" w:hAnsiTheme="minorHAnsi" w:hint="eastAsia"/>
                <w:color w:val="000000" w:themeColor="text1"/>
                <w:sz w:val="22"/>
                <w:szCs w:val="22"/>
              </w:rPr>
              <w:t xml:space="preserve">　</w:t>
            </w:r>
            <w:r w:rsidR="00625858" w:rsidRPr="00625858">
              <w:rPr>
                <w:rFonts w:ascii="UD デジタル 教科書体 NP-R" w:eastAsia="UD デジタル 教科書体 NP-R" w:hAnsiTheme="minorHAnsi" w:hint="eastAsia"/>
                <w:color w:val="000000" w:themeColor="text1"/>
                <w:sz w:val="22"/>
                <w:szCs w:val="22"/>
              </w:rPr>
              <w:t>Ｐ８３</w:t>
            </w:r>
            <w:r w:rsidR="005756B9">
              <w:rPr>
                <w:rFonts w:ascii="UD デジタル 教科書体 NP-R" w:eastAsia="UD デジタル 教科書体 NP-R" w:hAnsiTheme="minorHAnsi" w:hint="eastAsia"/>
                <w:color w:val="000000" w:themeColor="text1"/>
                <w:sz w:val="22"/>
                <w:szCs w:val="22"/>
              </w:rPr>
              <w:t>を参照</w:t>
            </w:r>
            <w:r w:rsidR="00625858" w:rsidRPr="00625858">
              <w:rPr>
                <w:rFonts w:ascii="UD デジタル 教科書体 NP-R" w:eastAsia="UD デジタル 教科書体 NP-R" w:hAnsiTheme="minorHAnsi" w:hint="eastAsia"/>
                <w:color w:val="000000" w:themeColor="text1"/>
                <w:sz w:val="22"/>
                <w:szCs w:val="22"/>
              </w:rPr>
              <w:t>）</w:t>
            </w:r>
          </w:p>
          <w:p w14:paraId="5D3C8E6A" w14:textId="77777777" w:rsidR="0023613E" w:rsidRPr="00F41492" w:rsidRDefault="0023613E" w:rsidP="00E32E0F">
            <w:pPr>
              <w:pStyle w:val="a9"/>
              <w:spacing w:beforeLines="25" w:before="90" w:line="25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※２　以下の制度等をいう。</w:t>
            </w:r>
          </w:p>
          <w:tbl>
            <w:tblPr>
              <w:tblStyle w:val="aa"/>
              <w:tblW w:w="6072" w:type="dxa"/>
              <w:tblLayout w:type="fixed"/>
              <w:tblCellMar>
                <w:left w:w="28" w:type="dxa"/>
                <w:right w:w="28" w:type="dxa"/>
              </w:tblCellMar>
              <w:tblLook w:val="04A0" w:firstRow="1" w:lastRow="0" w:firstColumn="1" w:lastColumn="0" w:noHBand="0" w:noVBand="1"/>
            </w:tblPr>
            <w:tblGrid>
              <w:gridCol w:w="1443"/>
              <w:gridCol w:w="4629"/>
            </w:tblGrid>
            <w:tr w:rsidR="0023613E" w:rsidRPr="00F41492" w14:paraId="3AE99ACE" w14:textId="77777777" w:rsidTr="009C5F48">
              <w:trPr>
                <w:trHeight w:val="436"/>
              </w:trPr>
              <w:tc>
                <w:tcPr>
                  <w:tcW w:w="1443" w:type="dxa"/>
                  <w:shd w:val="clear" w:color="auto" w:fill="auto"/>
                </w:tcPr>
                <w:p w14:paraId="77306274"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lastRenderedPageBreak/>
                    <w:t>高度利用地区</w:t>
                  </w:r>
                </w:p>
              </w:tc>
              <w:tc>
                <w:tcPr>
                  <w:tcW w:w="4629" w:type="dxa"/>
                  <w:shd w:val="clear" w:color="auto" w:fill="auto"/>
                </w:tcPr>
                <w:p w14:paraId="163DF634"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都市計画法による地域地区</w:t>
                  </w:r>
                </w:p>
                <w:p w14:paraId="621AD852"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再開発等による具体の計画が決まっている地域を指定。</w:t>
                  </w:r>
                </w:p>
              </w:tc>
            </w:tr>
            <w:tr w:rsidR="0023613E" w:rsidRPr="00F41492" w14:paraId="01F46517" w14:textId="77777777" w:rsidTr="009C5F48">
              <w:trPr>
                <w:trHeight w:val="436"/>
              </w:trPr>
              <w:tc>
                <w:tcPr>
                  <w:tcW w:w="1443" w:type="dxa"/>
                  <w:shd w:val="clear" w:color="auto" w:fill="auto"/>
                </w:tcPr>
                <w:p w14:paraId="2EE4A296"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高度利用型</w:t>
                  </w:r>
                </w:p>
                <w:p w14:paraId="143E0E7D"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地区計画</w:t>
                  </w:r>
                </w:p>
              </w:tc>
              <w:tc>
                <w:tcPr>
                  <w:tcW w:w="4629" w:type="dxa"/>
                  <w:shd w:val="clear" w:color="auto" w:fill="auto"/>
                </w:tcPr>
                <w:p w14:paraId="2BBE9B84"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都市計画法による地区計画</w:t>
                  </w:r>
                </w:p>
                <w:p w14:paraId="4A60E314"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主に街区単位での面的な整備を行う際に指定。</w:t>
                  </w:r>
                </w:p>
              </w:tc>
            </w:tr>
            <w:tr w:rsidR="0023613E" w:rsidRPr="00F41492" w14:paraId="6142995B" w14:textId="77777777" w:rsidTr="009C5F48">
              <w:trPr>
                <w:trHeight w:val="436"/>
              </w:trPr>
              <w:tc>
                <w:tcPr>
                  <w:tcW w:w="1443" w:type="dxa"/>
                  <w:shd w:val="clear" w:color="auto" w:fill="auto"/>
                </w:tcPr>
                <w:p w14:paraId="17D6C946"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総合設計制度</w:t>
                  </w:r>
                </w:p>
              </w:tc>
              <w:tc>
                <w:tcPr>
                  <w:tcW w:w="4629" w:type="dxa"/>
                  <w:shd w:val="clear" w:color="auto" w:fill="auto"/>
                </w:tcPr>
                <w:p w14:paraId="25F43277"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建築基準法による許可制度</w:t>
                  </w:r>
                </w:p>
                <w:p w14:paraId="2440B3E8"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単独の敷地において公共貢献に応じて容積率や斜線制限の緩和を受ける。</w:t>
                  </w:r>
                </w:p>
              </w:tc>
            </w:tr>
            <w:tr w:rsidR="0023613E" w:rsidRPr="00F41492" w14:paraId="0CAC8E65" w14:textId="77777777" w:rsidTr="009C5F48">
              <w:trPr>
                <w:trHeight w:val="436"/>
              </w:trPr>
              <w:tc>
                <w:tcPr>
                  <w:tcW w:w="1443" w:type="dxa"/>
                  <w:shd w:val="clear" w:color="auto" w:fill="auto"/>
                </w:tcPr>
                <w:p w14:paraId="13022462" w14:textId="39BCDE7B"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総合設計制度同等</w:t>
                  </w:r>
                </w:p>
              </w:tc>
              <w:tc>
                <w:tcPr>
                  <w:tcW w:w="4629" w:type="dxa"/>
                  <w:shd w:val="clear" w:color="auto" w:fill="auto"/>
                </w:tcPr>
                <w:p w14:paraId="543A7D5F"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上記の総合設計制度と同等の公共貢献を行う。</w:t>
                  </w:r>
                </w:p>
                <w:p w14:paraId="62E88113" w14:textId="77777777" w:rsidR="0023613E" w:rsidRPr="00F41492" w:rsidRDefault="0023613E" w:rsidP="00E32E0F">
                  <w:pPr>
                    <w:pStyle w:val="a9"/>
                    <w:spacing w:line="200" w:lineRule="exact"/>
                    <w:ind w:leftChars="0" w:left="0" w:firstLineChars="0" w:firstLine="0"/>
                    <w:rPr>
                      <w:rFonts w:ascii="UD デジタル 教科書体 NP-R" w:eastAsia="UD デジタル 教科書体 NP-R" w:hAnsiTheme="minorHAnsi"/>
                      <w:color w:val="000000" w:themeColor="text1"/>
                      <w:sz w:val="20"/>
                      <w:szCs w:val="20"/>
                    </w:rPr>
                  </w:pPr>
                  <w:r w:rsidRPr="00F41492">
                    <w:rPr>
                      <w:rFonts w:ascii="UD デジタル 教科書体 NP-R" w:eastAsia="UD デジタル 教科書体 NP-R" w:hAnsiTheme="minorHAnsi" w:hint="eastAsia"/>
                      <w:color w:val="000000" w:themeColor="text1"/>
                      <w:sz w:val="20"/>
                      <w:szCs w:val="20"/>
                    </w:rPr>
                    <w:t>容積率や斜線制限等の緩和は受けないが、空地の確保等の公共貢献を実施。</w:t>
                  </w:r>
                </w:p>
              </w:tc>
            </w:tr>
          </w:tbl>
          <w:p w14:paraId="2B28C32C" w14:textId="0EAA777D" w:rsidR="0023613E" w:rsidRPr="00F41492" w:rsidRDefault="0023613E" w:rsidP="00F41492">
            <w:pPr>
              <w:pStyle w:val="a9"/>
              <w:spacing w:line="250" w:lineRule="exact"/>
              <w:ind w:leftChars="0" w:left="220" w:hanging="220"/>
              <w:rPr>
                <w:rFonts w:ascii="UD デジタル 教科書体 NP-R" w:eastAsia="UD デジタル 教科書体 NP-R" w:hAnsiTheme="minorHAnsi"/>
                <w:color w:val="000000" w:themeColor="text1"/>
                <w:sz w:val="22"/>
                <w:szCs w:val="22"/>
              </w:rPr>
            </w:pPr>
          </w:p>
        </w:tc>
        <w:tc>
          <w:tcPr>
            <w:tcW w:w="514" w:type="dxa"/>
            <w:vMerge/>
            <w:vAlign w:val="center"/>
          </w:tcPr>
          <w:p w14:paraId="5B81E5C9" w14:textId="77777777"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3613E" w:rsidRPr="00F41492" w14:paraId="316DB615" w14:textId="2159492E" w:rsidTr="009C5F48">
        <w:trPr>
          <w:trHeight w:val="618"/>
          <w:jc w:val="center"/>
        </w:trPr>
        <w:tc>
          <w:tcPr>
            <w:tcW w:w="1153" w:type="dxa"/>
            <w:vMerge w:val="restart"/>
            <w:shd w:val="clear" w:color="auto" w:fill="auto"/>
          </w:tcPr>
          <w:p w14:paraId="69F60308"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形態</w:t>
            </w:r>
          </w:p>
          <w:p w14:paraId="1DDF49D0"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p>
          <w:p w14:paraId="1A1F665D" w14:textId="77777777" w:rsidR="0023613E" w:rsidRPr="00F41492" w:rsidRDefault="0023613E" w:rsidP="00225A9B">
            <w:pPr>
              <w:rPr>
                <w:rFonts w:ascii="UD デジタル 教科書体 NP-R" w:eastAsia="UD デジタル 教科書体 NP-R"/>
                <w:color w:val="000000" w:themeColor="text1"/>
                <w:sz w:val="22"/>
              </w:rPr>
            </w:pPr>
          </w:p>
        </w:tc>
        <w:tc>
          <w:tcPr>
            <w:tcW w:w="7716" w:type="dxa"/>
            <w:shd w:val="clear" w:color="auto" w:fill="auto"/>
          </w:tcPr>
          <w:p w14:paraId="35524D56" w14:textId="7E1A6332"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建築物等は、地域の雰囲気を損なわない、全体を統一感のある形態意匠となるように配慮すること。</w:t>
            </w:r>
          </w:p>
        </w:tc>
        <w:tc>
          <w:tcPr>
            <w:tcW w:w="514" w:type="dxa"/>
            <w:vMerge w:val="restart"/>
            <w:vAlign w:val="center"/>
          </w:tcPr>
          <w:p w14:paraId="79593888" w14:textId="7102341C" w:rsidR="0023613E" w:rsidRPr="00F41492" w:rsidRDefault="004E23D9" w:rsidP="0023613E">
            <w:pPr>
              <w:pStyle w:val="a9"/>
              <w:spacing w:line="250" w:lineRule="exact"/>
              <w:ind w:leftChars="0" w:left="0" w:firstLineChars="50" w:firstLine="11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23613E" w:rsidRPr="00F41492" w14:paraId="0938EC39" w14:textId="6EDABCE7" w:rsidTr="009C5F48">
        <w:trPr>
          <w:trHeight w:val="618"/>
          <w:jc w:val="center"/>
        </w:trPr>
        <w:tc>
          <w:tcPr>
            <w:tcW w:w="1153" w:type="dxa"/>
            <w:vMerge/>
            <w:shd w:val="clear" w:color="auto" w:fill="auto"/>
          </w:tcPr>
          <w:p w14:paraId="705742C3"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p>
        </w:tc>
        <w:tc>
          <w:tcPr>
            <w:tcW w:w="7716" w:type="dxa"/>
            <w:shd w:val="clear" w:color="auto" w:fill="auto"/>
          </w:tcPr>
          <w:p w14:paraId="5EA92780" w14:textId="555C60EA"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周囲のまち並みや山並みに調和するスカイラインの形成、屋外に設置される設備類の建築物全体との一体化等により、天守閣からの眺望に配慮したデザインとすること。</w:t>
            </w:r>
          </w:p>
        </w:tc>
        <w:tc>
          <w:tcPr>
            <w:tcW w:w="514" w:type="dxa"/>
            <w:vMerge/>
            <w:vAlign w:val="center"/>
          </w:tcPr>
          <w:p w14:paraId="588DE1BA" w14:textId="77777777"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3613E" w:rsidRPr="00F41492" w14:paraId="6DF8FFA1" w14:textId="5619877E" w:rsidTr="009C5F48">
        <w:trPr>
          <w:trHeight w:val="472"/>
          <w:jc w:val="center"/>
        </w:trPr>
        <w:tc>
          <w:tcPr>
            <w:tcW w:w="1153" w:type="dxa"/>
            <w:vMerge w:val="restart"/>
            <w:shd w:val="clear" w:color="auto" w:fill="auto"/>
          </w:tcPr>
          <w:p w14:paraId="07960CD7" w14:textId="77777777" w:rsidR="009C5F48" w:rsidRDefault="0023613E" w:rsidP="00225A9B">
            <w:pPr>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色彩・</w:t>
            </w:r>
          </w:p>
          <w:p w14:paraId="6711045C" w14:textId="1425C227" w:rsidR="0023613E" w:rsidRPr="00F41492" w:rsidRDefault="0023613E" w:rsidP="00225A9B">
            <w:pPr>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材料</w:t>
            </w:r>
          </w:p>
          <w:p w14:paraId="12E13203"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p>
        </w:tc>
        <w:tc>
          <w:tcPr>
            <w:tcW w:w="7716" w:type="dxa"/>
            <w:shd w:val="clear" w:color="auto" w:fill="auto"/>
          </w:tcPr>
          <w:p w14:paraId="0AABFA46" w14:textId="77777777"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樹木との関係に配慮し、地域の雰囲気を損なわない「地域で推奨する色彩」を使用するように努めること。</w:t>
            </w:r>
          </w:p>
          <w:p w14:paraId="2AA09821" w14:textId="02AD0049" w:rsidR="0023613E" w:rsidRPr="00F41492" w:rsidRDefault="0023613E" w:rsidP="0006207E">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ただし、「地域で推奨する色彩」以外を使用する場合は、景観シミュレーションを作成し、事前協議すること。</w:t>
            </w:r>
          </w:p>
        </w:tc>
        <w:tc>
          <w:tcPr>
            <w:tcW w:w="514" w:type="dxa"/>
            <w:vMerge w:val="restart"/>
            <w:vAlign w:val="center"/>
          </w:tcPr>
          <w:p w14:paraId="2C6FCE55" w14:textId="40867796" w:rsidR="0023613E" w:rsidRPr="00F41492" w:rsidRDefault="004E23D9" w:rsidP="0023613E">
            <w:pPr>
              <w:pStyle w:val="a9"/>
              <w:spacing w:line="250" w:lineRule="exact"/>
              <w:ind w:leftChars="0" w:left="0" w:firstLineChars="50" w:firstLine="11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23613E" w:rsidRPr="00F41492" w14:paraId="2A9A6BBB" w14:textId="584B5963" w:rsidTr="009C5F48">
        <w:trPr>
          <w:trHeight w:val="659"/>
          <w:jc w:val="center"/>
        </w:trPr>
        <w:tc>
          <w:tcPr>
            <w:tcW w:w="1153" w:type="dxa"/>
            <w:vMerge/>
            <w:shd w:val="clear" w:color="auto" w:fill="auto"/>
          </w:tcPr>
          <w:p w14:paraId="5E58A116" w14:textId="77777777" w:rsidR="0023613E" w:rsidRPr="00F41492" w:rsidRDefault="0023613E" w:rsidP="00225A9B">
            <w:pPr>
              <w:ind w:left="660" w:hangingChars="300" w:hanging="660"/>
              <w:rPr>
                <w:rFonts w:ascii="UD デジタル 教科書体 NP-R" w:eastAsia="UD デジタル 教科書体 NP-R"/>
                <w:color w:val="000000" w:themeColor="text1"/>
                <w:sz w:val="22"/>
              </w:rPr>
            </w:pPr>
          </w:p>
        </w:tc>
        <w:tc>
          <w:tcPr>
            <w:tcW w:w="7716" w:type="dxa"/>
            <w:shd w:val="clear" w:color="auto" w:fill="auto"/>
          </w:tcPr>
          <w:p w14:paraId="0928AEC0" w14:textId="4A48A2DC" w:rsidR="0023613E" w:rsidRPr="00F41492" w:rsidRDefault="0023613E" w:rsidP="00E32E0F">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対比効果の大きい色彩（色相・明度・彩度）の組合せは避けるように努めること。</w:t>
            </w:r>
          </w:p>
        </w:tc>
        <w:tc>
          <w:tcPr>
            <w:tcW w:w="514" w:type="dxa"/>
            <w:vMerge/>
            <w:vAlign w:val="center"/>
          </w:tcPr>
          <w:p w14:paraId="5DB101E1" w14:textId="77777777" w:rsidR="0023613E" w:rsidRPr="00F41492" w:rsidRDefault="0023613E" w:rsidP="00E32E0F">
            <w:pPr>
              <w:pStyle w:val="a9"/>
              <w:spacing w:line="250" w:lineRule="exact"/>
              <w:ind w:leftChars="100" w:left="210" w:firstLineChars="0" w:firstLine="0"/>
              <w:rPr>
                <w:rFonts w:ascii="UD デジタル 教科書体 NP-R" w:eastAsia="UD デジタル 教科書体 NP-R" w:hAnsiTheme="minorHAnsi"/>
                <w:color w:val="000000" w:themeColor="text1"/>
                <w:sz w:val="22"/>
                <w:szCs w:val="22"/>
              </w:rPr>
            </w:pPr>
          </w:p>
        </w:tc>
      </w:tr>
      <w:tr w:rsidR="0023613E" w:rsidRPr="00F41492" w14:paraId="06266E23" w14:textId="6AA2098D" w:rsidTr="009C5F48">
        <w:trPr>
          <w:trHeight w:val="657"/>
          <w:jc w:val="center"/>
        </w:trPr>
        <w:tc>
          <w:tcPr>
            <w:tcW w:w="1153" w:type="dxa"/>
            <w:vMerge w:val="restart"/>
            <w:shd w:val="clear" w:color="auto" w:fill="auto"/>
          </w:tcPr>
          <w:p w14:paraId="564C81ED" w14:textId="77777777" w:rsidR="009C5F48" w:rsidRDefault="0023613E" w:rsidP="00225A9B">
            <w:pPr>
              <w:spacing w:line="276" w:lineRule="auto"/>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敷地の</w:t>
            </w:r>
          </w:p>
          <w:p w14:paraId="5C0A3789" w14:textId="22775033" w:rsidR="0023613E" w:rsidRPr="00F41492" w:rsidRDefault="0023613E" w:rsidP="00225A9B">
            <w:pPr>
              <w:spacing w:line="276" w:lineRule="auto"/>
              <w:ind w:left="660" w:hangingChars="300" w:hanging="660"/>
              <w:rPr>
                <w:rFonts w:ascii="UD デジタル 教科書体 NP-R" w:eastAsia="UD デジタル 教科書体 NP-R"/>
                <w:color w:val="000000" w:themeColor="text1"/>
                <w:sz w:val="22"/>
              </w:rPr>
            </w:pPr>
            <w:r w:rsidRPr="00F41492">
              <w:rPr>
                <w:rFonts w:ascii="UD デジタル 教科書体 NP-R" w:eastAsia="UD デジタル 教科書体 NP-R" w:hint="eastAsia"/>
                <w:color w:val="000000" w:themeColor="text1"/>
                <w:sz w:val="22"/>
              </w:rPr>
              <w:t>緑化</w:t>
            </w:r>
          </w:p>
        </w:tc>
        <w:tc>
          <w:tcPr>
            <w:tcW w:w="7716" w:type="dxa"/>
            <w:shd w:val="clear" w:color="auto" w:fill="auto"/>
          </w:tcPr>
          <w:p w14:paraId="45165E24" w14:textId="34D01D55" w:rsidR="0023613E" w:rsidRPr="00F41492" w:rsidRDefault="0023613E" w:rsidP="002025C8">
            <w:pPr>
              <w:pStyle w:val="a9"/>
              <w:spacing w:line="300" w:lineRule="exact"/>
              <w:ind w:leftChars="0" w:left="220" w:hanging="220"/>
              <w:rPr>
                <w:rFonts w:ascii="UD デジタル 教科書体 NP-R" w:eastAsia="UD デジタル 教科書体 NP-R" w:hAnsiTheme="minorHAnsi" w:hint="eastAsia"/>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・屋上緑化、壁面緑化などを活用し、眺望景観にも配慮しながら積極的に緑化を図ること。</w:t>
            </w:r>
          </w:p>
        </w:tc>
        <w:tc>
          <w:tcPr>
            <w:tcW w:w="514" w:type="dxa"/>
            <w:vMerge w:val="restart"/>
            <w:vAlign w:val="center"/>
          </w:tcPr>
          <w:p w14:paraId="655546E1" w14:textId="050CF11B" w:rsidR="0023613E" w:rsidRPr="00F41492" w:rsidRDefault="004E23D9" w:rsidP="00677E0C">
            <w:pPr>
              <w:pStyle w:val="a9"/>
              <w:spacing w:line="300" w:lineRule="exact"/>
              <w:ind w:leftChars="50" w:left="215" w:hangingChars="50" w:hanging="110"/>
              <w:rPr>
                <w:rFonts w:ascii="UD デジタル 教科書体 NP-R" w:eastAsia="UD デジタル 教科書体 NP-R" w:hAnsiTheme="minorHAnsi"/>
                <w:color w:val="000000" w:themeColor="text1"/>
                <w:sz w:val="22"/>
                <w:szCs w:val="22"/>
              </w:rPr>
            </w:pPr>
            <w:r>
              <w:rPr>
                <w:rFonts w:ascii="UD デジタル 教科書体 NP-R" w:eastAsia="UD デジタル 教科書体 NP-R" w:hint="eastAsia"/>
                <w:sz w:val="22"/>
              </w:rPr>
              <w:t>□</w:t>
            </w:r>
          </w:p>
        </w:tc>
      </w:tr>
      <w:tr w:rsidR="0023613E" w:rsidRPr="00F41492" w14:paraId="45274DF2" w14:textId="138D0BB8" w:rsidTr="009C5F48">
        <w:trPr>
          <w:trHeight w:val="657"/>
          <w:jc w:val="center"/>
        </w:trPr>
        <w:tc>
          <w:tcPr>
            <w:tcW w:w="1153" w:type="dxa"/>
            <w:vMerge/>
            <w:shd w:val="clear" w:color="auto" w:fill="auto"/>
          </w:tcPr>
          <w:p w14:paraId="311C668F" w14:textId="77777777" w:rsidR="0023613E" w:rsidRPr="00F41492" w:rsidRDefault="0023613E" w:rsidP="00225A9B">
            <w:pPr>
              <w:spacing w:line="276" w:lineRule="auto"/>
              <w:ind w:left="660" w:hangingChars="300" w:hanging="660"/>
              <w:rPr>
                <w:rFonts w:ascii="UD デジタル 教科書体 NP-R" w:eastAsia="UD デジタル 教科書体 NP-R"/>
                <w:color w:val="000000" w:themeColor="text1"/>
                <w:sz w:val="22"/>
              </w:rPr>
            </w:pPr>
          </w:p>
        </w:tc>
        <w:tc>
          <w:tcPr>
            <w:tcW w:w="7716" w:type="dxa"/>
            <w:shd w:val="clear" w:color="auto" w:fill="auto"/>
          </w:tcPr>
          <w:p w14:paraId="29975BA2" w14:textId="53601C32" w:rsidR="0023613E" w:rsidRPr="00F41492" w:rsidRDefault="0023613E" w:rsidP="00225A9B">
            <w:pPr>
              <w:pStyle w:val="a9"/>
              <w:spacing w:line="300" w:lineRule="exact"/>
              <w:ind w:leftChars="0" w:left="220" w:hanging="220"/>
              <w:rPr>
                <w:rFonts w:ascii="UD デジタル 教科書体 NP-R" w:eastAsia="UD デジタル 教科書体 NP-R" w:hAnsiTheme="minorHAnsi"/>
                <w:color w:val="000000" w:themeColor="text1"/>
                <w:sz w:val="22"/>
                <w:szCs w:val="22"/>
              </w:rPr>
            </w:pPr>
            <w:r w:rsidRPr="00F41492">
              <w:rPr>
                <w:rFonts w:ascii="UD デジタル 教科書体 NP-R" w:eastAsia="UD デジタル 教科書体 NP-R" w:hAnsiTheme="minorHAnsi" w:hint="eastAsia"/>
                <w:color w:val="000000" w:themeColor="text1"/>
                <w:sz w:val="22"/>
                <w:szCs w:val="22"/>
              </w:rPr>
              <w:t>・大木、古木は、可能な限り保存を図ること。</w:t>
            </w:r>
          </w:p>
        </w:tc>
        <w:tc>
          <w:tcPr>
            <w:tcW w:w="514" w:type="dxa"/>
            <w:vMerge/>
          </w:tcPr>
          <w:p w14:paraId="25074D7D" w14:textId="77777777" w:rsidR="0023613E" w:rsidRPr="00F41492" w:rsidRDefault="0023613E" w:rsidP="00225A9B">
            <w:pPr>
              <w:pStyle w:val="a9"/>
              <w:spacing w:line="300" w:lineRule="exact"/>
              <w:ind w:leftChars="0" w:left="220" w:hanging="220"/>
              <w:rPr>
                <w:rFonts w:ascii="UD デジタル 教科書体 NP-R" w:eastAsia="UD デジタル 教科書体 NP-R" w:hAnsiTheme="minorHAnsi"/>
                <w:color w:val="000000" w:themeColor="text1"/>
                <w:sz w:val="22"/>
                <w:szCs w:val="22"/>
              </w:rPr>
            </w:pPr>
          </w:p>
        </w:tc>
      </w:tr>
    </w:tbl>
    <w:p w14:paraId="1FF90380" w14:textId="4C90E9AB" w:rsidR="00603C26" w:rsidRPr="00F41492" w:rsidRDefault="00603C26" w:rsidP="00CB1FFC">
      <w:pPr>
        <w:ind w:left="2" w:hangingChars="1" w:hanging="2"/>
        <w:rPr>
          <w:rFonts w:ascii="UD デジタル 教科書体 NP-R" w:eastAsia="UD デジタル 教科書体 NP-R"/>
          <w:sz w:val="22"/>
        </w:rPr>
      </w:pPr>
    </w:p>
    <w:p w14:paraId="6E6111FF" w14:textId="301B250F" w:rsidR="0006207E" w:rsidRPr="00FF5F18" w:rsidRDefault="00B63244" w:rsidP="00B63244">
      <w:pPr>
        <w:rPr>
          <w:rFonts w:ascii="UD デジタル 教科書体 NP-R" w:eastAsia="UD デジタル 教科書体 NP-R"/>
          <w:sz w:val="22"/>
          <w:shd w:val="pct15" w:color="auto" w:fill="FFFFFF"/>
        </w:rPr>
      </w:pPr>
      <w:r w:rsidRPr="00FF5F18">
        <w:rPr>
          <w:rFonts w:ascii="UD デジタル 教科書体 NP-R" w:eastAsia="UD デジタル 教科書体 NP-R" w:hint="eastAsia"/>
          <w:sz w:val="22"/>
          <w:shd w:val="pct15" w:color="auto" w:fill="FFFFFF"/>
        </w:rPr>
        <w:t>上表を確認後、下記</w:t>
      </w:r>
      <w:r w:rsidR="00B62C26" w:rsidRPr="00FF5F18">
        <w:rPr>
          <w:rFonts w:ascii="UD デジタル 教科書体 NP-R" w:eastAsia="UD デジタル 教科書体 NP-R" w:hint="eastAsia"/>
          <w:sz w:val="22"/>
          <w:shd w:val="pct15" w:color="auto" w:fill="FFFFFF"/>
        </w:rPr>
        <w:t>事項を確認し</w:t>
      </w:r>
      <w:r w:rsidR="00094806">
        <w:rPr>
          <w:rFonts w:ascii="UD デジタル 教科書体 NP-R" w:eastAsia="UD デジタル 教科書体 NP-R" w:hint="eastAsia"/>
          <w:sz w:val="22"/>
          <w:shd w:val="pct15" w:color="auto" w:fill="FFFFFF"/>
        </w:rPr>
        <w:t>該当項目に</w:t>
      </w:r>
      <w:r w:rsidRPr="00FF5F18">
        <w:rPr>
          <w:rFonts w:ascii="UD デジタル 教科書体 NP-R" w:eastAsia="UD デジタル 教科書体 NP-R" w:hint="eastAsia"/>
          <w:sz w:val="22"/>
          <w:shd w:val="pct15" w:color="auto" w:fill="FFFFFF"/>
        </w:rPr>
        <w:t>チェック（</w:t>
      </w:r>
      <w:r w:rsidRPr="00FF5F18">
        <w:rPr>
          <w:rFonts w:ascii="Segoe UI Symbol" w:eastAsia="UD デジタル 教科書体 NP-R" w:hAnsi="Segoe UI Symbol" w:cs="Segoe UI Symbol"/>
          <w:sz w:val="22"/>
          <w:shd w:val="pct15" w:color="auto" w:fill="FFFFFF"/>
        </w:rPr>
        <w:t>☑</w:t>
      </w:r>
      <w:r w:rsidRPr="00FF5F18">
        <w:rPr>
          <w:rFonts w:ascii="UD デジタル 教科書体 NP-R" w:eastAsia="UD デジタル 教科書体 NP-R" w:hint="eastAsia"/>
          <w:sz w:val="22"/>
          <w:shd w:val="pct15" w:color="auto" w:fill="FFFFFF"/>
        </w:rPr>
        <w:t>）</w:t>
      </w:r>
      <w:r w:rsidR="00094806">
        <w:rPr>
          <w:rFonts w:ascii="UD デジタル 教科書体 NP-R" w:eastAsia="UD デジタル 教科書体 NP-R" w:hint="eastAsia"/>
          <w:sz w:val="22"/>
          <w:shd w:val="pct15" w:color="auto" w:fill="FFFFFF"/>
        </w:rPr>
        <w:t>して</w:t>
      </w:r>
      <w:r w:rsidRPr="00FF5F18">
        <w:rPr>
          <w:rFonts w:ascii="UD デジタル 教科書体 NP-R" w:eastAsia="UD デジタル 教科書体 NP-R" w:hint="eastAsia"/>
          <w:sz w:val="22"/>
          <w:shd w:val="pct15" w:color="auto" w:fill="FFFFFF"/>
        </w:rPr>
        <w:t>下さい。</w:t>
      </w:r>
    </w:p>
    <w:tbl>
      <w:tblPr>
        <w:tblStyle w:val="aa"/>
        <w:tblW w:w="9560"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08"/>
        <w:gridCol w:w="8452"/>
      </w:tblGrid>
      <w:tr w:rsidR="00B63244" w:rsidRPr="00F41492" w14:paraId="6963515C" w14:textId="77777777" w:rsidTr="009C5F48">
        <w:trPr>
          <w:trHeight w:val="726"/>
        </w:trPr>
        <w:tc>
          <w:tcPr>
            <w:tcW w:w="1108" w:type="dxa"/>
          </w:tcPr>
          <w:p w14:paraId="06C229AC" w14:textId="77777777" w:rsidR="00B63244" w:rsidRPr="00F41492" w:rsidRDefault="00B63244" w:rsidP="00986483">
            <w:pPr>
              <w:pStyle w:val="ab"/>
              <w:numPr>
                <w:ilvl w:val="0"/>
                <w:numId w:val="1"/>
              </w:numPr>
              <w:ind w:leftChars="0"/>
              <w:jc w:val="center"/>
              <w:rPr>
                <w:rFonts w:ascii="UD デジタル 教科書体 NP-R" w:eastAsia="UD デジタル 教科書体 NP-R"/>
                <w:sz w:val="22"/>
              </w:rPr>
            </w:pPr>
          </w:p>
        </w:tc>
        <w:tc>
          <w:tcPr>
            <w:tcW w:w="8452" w:type="dxa"/>
          </w:tcPr>
          <w:p w14:paraId="61C54E8D" w14:textId="654C887A" w:rsidR="00B63244" w:rsidRPr="00F41492" w:rsidRDefault="00B63244" w:rsidP="00986483">
            <w:pPr>
              <w:rPr>
                <w:rFonts w:ascii="UD デジタル 教科書体 NP-R" w:eastAsia="UD デジタル 教科書体 NP-R"/>
                <w:sz w:val="22"/>
              </w:rPr>
            </w:pPr>
            <w:r w:rsidRPr="00F41492">
              <w:rPr>
                <w:rFonts w:ascii="UD デジタル 教科書体 NP-R" w:eastAsia="UD デジタル 教科書体 NP-R" w:hint="eastAsia"/>
                <w:sz w:val="22"/>
              </w:rPr>
              <w:t>届出書に海抜高さを併記している。</w:t>
            </w:r>
          </w:p>
        </w:tc>
      </w:tr>
      <w:tr w:rsidR="00B63244" w:rsidRPr="00F41492" w14:paraId="1C9F8A22" w14:textId="77777777" w:rsidTr="009C5F48">
        <w:trPr>
          <w:trHeight w:val="726"/>
        </w:trPr>
        <w:tc>
          <w:tcPr>
            <w:tcW w:w="1108" w:type="dxa"/>
          </w:tcPr>
          <w:p w14:paraId="102D6D20" w14:textId="77777777" w:rsidR="00B63244" w:rsidRPr="00F41492" w:rsidRDefault="00B63244" w:rsidP="00986483">
            <w:pPr>
              <w:pStyle w:val="ab"/>
              <w:numPr>
                <w:ilvl w:val="0"/>
                <w:numId w:val="1"/>
              </w:numPr>
              <w:ind w:leftChars="0"/>
              <w:jc w:val="center"/>
              <w:rPr>
                <w:rFonts w:ascii="UD デジタル 教科書体 NP-R" w:eastAsia="UD デジタル 教科書体 NP-R"/>
                <w:sz w:val="22"/>
              </w:rPr>
            </w:pPr>
          </w:p>
        </w:tc>
        <w:tc>
          <w:tcPr>
            <w:tcW w:w="8452" w:type="dxa"/>
          </w:tcPr>
          <w:p w14:paraId="39C02D88" w14:textId="68B7A80F" w:rsidR="00B63244" w:rsidRPr="00F41492" w:rsidRDefault="00B63244" w:rsidP="00986483">
            <w:pPr>
              <w:rPr>
                <w:rFonts w:ascii="UD デジタル 教科書体 NP-R" w:eastAsia="UD デジタル 教科書体 NP-R"/>
                <w:sz w:val="22"/>
              </w:rPr>
            </w:pPr>
            <w:r w:rsidRPr="00F41492">
              <w:rPr>
                <w:rFonts w:ascii="UD デジタル 教科書体 NP-R" w:eastAsia="UD デジタル 教科書体 NP-R" w:hint="eastAsia"/>
                <w:sz w:val="22"/>
              </w:rPr>
              <w:t>建築物の高さは、上表「位置・高さ」の地区に応じた海抜高さを超えていない。</w:t>
            </w:r>
          </w:p>
        </w:tc>
      </w:tr>
      <w:tr w:rsidR="00B63244" w:rsidRPr="00F41492" w14:paraId="21DB2EF6" w14:textId="77777777" w:rsidTr="009C5F48">
        <w:trPr>
          <w:trHeight w:val="726"/>
        </w:trPr>
        <w:tc>
          <w:tcPr>
            <w:tcW w:w="1108" w:type="dxa"/>
          </w:tcPr>
          <w:p w14:paraId="77CB0D74" w14:textId="77777777" w:rsidR="00B63244" w:rsidRPr="00F41492" w:rsidRDefault="00B63244" w:rsidP="00986483">
            <w:pPr>
              <w:pStyle w:val="ab"/>
              <w:numPr>
                <w:ilvl w:val="0"/>
                <w:numId w:val="1"/>
              </w:numPr>
              <w:ind w:leftChars="0"/>
              <w:jc w:val="center"/>
              <w:rPr>
                <w:rFonts w:ascii="UD デジタル 教科書体 NP-R" w:eastAsia="UD デジタル 教科書体 NP-R"/>
                <w:sz w:val="22"/>
              </w:rPr>
            </w:pPr>
          </w:p>
        </w:tc>
        <w:tc>
          <w:tcPr>
            <w:tcW w:w="8452" w:type="dxa"/>
          </w:tcPr>
          <w:p w14:paraId="43D01C51" w14:textId="1B8E972E" w:rsidR="00B63244" w:rsidRPr="00F41492" w:rsidRDefault="003830D7" w:rsidP="00986483">
            <w:pPr>
              <w:rPr>
                <w:rFonts w:ascii="UD デジタル 教科書体 NP-R" w:eastAsia="UD デジタル 教科書体 NP-R"/>
                <w:sz w:val="22"/>
              </w:rPr>
            </w:pPr>
            <w:r w:rsidRPr="00F41492">
              <w:rPr>
                <w:rFonts w:ascii="UD デジタル 教科書体 NP-R" w:eastAsia="UD デジタル 教科書体 NP-R" w:hint="eastAsia"/>
                <w:sz w:val="22"/>
              </w:rPr>
              <w:t>地区に応じた</w:t>
            </w:r>
            <w:r w:rsidR="00B63244" w:rsidRPr="00F41492">
              <w:rPr>
                <w:rFonts w:ascii="UD デジタル 教科書体 NP-R" w:eastAsia="UD デジタル 教科書体 NP-R" w:hint="eastAsia"/>
                <w:sz w:val="22"/>
              </w:rPr>
              <w:t>海抜高さを超える場合、熊本市景観審議会の承認を受けている。</w:t>
            </w:r>
          </w:p>
        </w:tc>
      </w:tr>
    </w:tbl>
    <w:p w14:paraId="53AA43CE" w14:textId="63BDE334" w:rsidR="00B63244" w:rsidRPr="00F41492" w:rsidRDefault="00B63244" w:rsidP="00B63244">
      <w:pPr>
        <w:ind w:left="2" w:hangingChars="1" w:hanging="2"/>
        <w:rPr>
          <w:rFonts w:ascii="UD デジタル 教科書体 NP-R" w:eastAsia="UD デジタル 教科書体 NP-R"/>
          <w:sz w:val="22"/>
        </w:rPr>
      </w:pPr>
    </w:p>
    <w:p w14:paraId="2E686E97" w14:textId="77676022" w:rsidR="0006207E" w:rsidRPr="00F41492" w:rsidRDefault="0006207E" w:rsidP="00CB1FFC">
      <w:pPr>
        <w:ind w:left="2" w:hangingChars="1" w:hanging="2"/>
        <w:rPr>
          <w:rFonts w:ascii="UD デジタル 教科書体 NP-R" w:eastAsia="UD デジタル 教科書体 NP-R"/>
          <w:sz w:val="22"/>
        </w:rPr>
      </w:pPr>
    </w:p>
    <w:p w14:paraId="53DFEAEB" w14:textId="504408DF" w:rsidR="0006207E" w:rsidRPr="00F41492" w:rsidRDefault="0006207E" w:rsidP="00CB1FFC">
      <w:pPr>
        <w:ind w:left="2" w:hangingChars="1" w:hanging="2"/>
        <w:rPr>
          <w:rFonts w:ascii="UD デジタル 教科書体 NP-R" w:eastAsia="UD デジタル 教科書体 NP-R"/>
          <w:sz w:val="22"/>
        </w:rPr>
      </w:pPr>
    </w:p>
    <w:p w14:paraId="5D152222" w14:textId="0ECB6B5D" w:rsidR="0006207E" w:rsidRPr="00F41492" w:rsidRDefault="0006207E" w:rsidP="00CB1FFC">
      <w:pPr>
        <w:ind w:left="2" w:hangingChars="1" w:hanging="2"/>
        <w:rPr>
          <w:rFonts w:ascii="UD デジタル 教科書体 NP-R" w:eastAsia="UD デジタル 教科書体 NP-R"/>
          <w:sz w:val="22"/>
        </w:rPr>
      </w:pPr>
    </w:p>
    <w:p w14:paraId="2CE28FAD" w14:textId="0AAE9EDE" w:rsidR="0006207E" w:rsidRPr="00F41492" w:rsidRDefault="0006207E" w:rsidP="00CB1FFC">
      <w:pPr>
        <w:ind w:left="2" w:hangingChars="1" w:hanging="2"/>
        <w:rPr>
          <w:rFonts w:ascii="UD デジタル 教科書体 NP-R" w:eastAsia="UD デジタル 教科書体 NP-R"/>
          <w:sz w:val="22"/>
        </w:rPr>
      </w:pPr>
    </w:p>
    <w:p w14:paraId="681154E8" w14:textId="7BF33333" w:rsidR="0006207E" w:rsidRPr="00F41492" w:rsidRDefault="0006207E" w:rsidP="00CB1FFC">
      <w:pPr>
        <w:ind w:left="2" w:hangingChars="1" w:hanging="2"/>
        <w:rPr>
          <w:rFonts w:ascii="UD デジタル 教科書体 NP-R" w:eastAsia="UD デジタル 教科書体 NP-R"/>
          <w:sz w:val="22"/>
        </w:rPr>
      </w:pPr>
    </w:p>
    <w:p w14:paraId="3C003373" w14:textId="6EC2896F" w:rsidR="0006207E" w:rsidRPr="00F41492" w:rsidRDefault="0006207E" w:rsidP="00CB1FFC">
      <w:pPr>
        <w:ind w:left="2" w:hangingChars="1" w:hanging="2"/>
        <w:rPr>
          <w:rFonts w:ascii="UD デジタル 教科書体 NP-R" w:eastAsia="UD デジタル 教科書体 NP-R"/>
          <w:sz w:val="22"/>
        </w:rPr>
      </w:pPr>
    </w:p>
    <w:p w14:paraId="381F4C2E" w14:textId="23BA4712" w:rsidR="0006207E" w:rsidRPr="00F41492" w:rsidRDefault="0006207E" w:rsidP="00CB1FFC">
      <w:pPr>
        <w:ind w:left="2" w:hangingChars="1" w:hanging="2"/>
        <w:rPr>
          <w:rFonts w:ascii="UD デジタル 教科書体 NP-R" w:eastAsia="UD デジタル 教科書体 NP-R"/>
          <w:sz w:val="22"/>
        </w:rPr>
      </w:pPr>
    </w:p>
    <w:p w14:paraId="3C454685" w14:textId="48AF3302" w:rsidR="0006207E" w:rsidRPr="00F41492" w:rsidRDefault="0006207E" w:rsidP="00CB1FFC">
      <w:pPr>
        <w:ind w:left="2" w:hangingChars="1" w:hanging="2"/>
        <w:rPr>
          <w:rFonts w:ascii="UD デジタル 教科書体 NP-R" w:eastAsia="UD デジタル 教科書体 NP-R"/>
          <w:sz w:val="22"/>
        </w:rPr>
      </w:pPr>
    </w:p>
    <w:p w14:paraId="4C721883" w14:textId="50234244" w:rsidR="00B63244" w:rsidRPr="00F41492" w:rsidRDefault="00B63244" w:rsidP="00677E0C">
      <w:pPr>
        <w:rPr>
          <w:rFonts w:ascii="UD デジタル 教科書体 NP-R" w:eastAsia="UD デジタル 教科書体 NP-R"/>
          <w:sz w:val="22"/>
        </w:rPr>
      </w:pPr>
    </w:p>
    <w:sectPr w:rsidR="00B63244" w:rsidRPr="00F41492" w:rsidSect="00DA6F46">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196" w14:textId="77777777" w:rsidR="00B31B3D" w:rsidRDefault="00B31B3D" w:rsidP="00FF2BFC">
      <w:r>
        <w:separator/>
      </w:r>
    </w:p>
  </w:endnote>
  <w:endnote w:type="continuationSeparator" w:id="0">
    <w:p w14:paraId="1CB419E9" w14:textId="77777777" w:rsidR="00B31B3D" w:rsidRDefault="00B31B3D" w:rsidP="00FF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6AE8" w14:textId="77777777" w:rsidR="00716B55" w:rsidRDefault="00716B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D086" w14:textId="77777777" w:rsidR="00716B55" w:rsidRDefault="00716B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14EB" w14:textId="77777777" w:rsidR="00716B55" w:rsidRDefault="00716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5B30" w14:textId="77777777" w:rsidR="00B31B3D" w:rsidRDefault="00B31B3D" w:rsidP="00FF2BFC">
      <w:r>
        <w:separator/>
      </w:r>
    </w:p>
  </w:footnote>
  <w:footnote w:type="continuationSeparator" w:id="0">
    <w:p w14:paraId="0A879259" w14:textId="77777777" w:rsidR="00B31B3D" w:rsidRDefault="00B31B3D" w:rsidP="00FF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4A93" w14:textId="77777777" w:rsidR="00716B55" w:rsidRDefault="00716B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168C" w14:textId="38352178" w:rsidR="00716B55" w:rsidRPr="00716B55" w:rsidRDefault="00716B55" w:rsidP="00716B55">
    <w:pPr>
      <w:pStyle w:val="a3"/>
      <w:ind w:firstLineChars="4300" w:firstLine="9030"/>
      <w:rPr>
        <w:rFonts w:ascii="BIZ UDPゴシック" w:eastAsia="BIZ UDPゴシック" w:hAnsi="BIZ UDPゴシック"/>
      </w:rPr>
    </w:pPr>
    <w:r w:rsidRPr="00716B55">
      <w:rPr>
        <w:rFonts w:ascii="BIZ UDPゴシック" w:eastAsia="BIZ UDPゴシック" w:hAnsi="BIZ UDPゴシック" w:hint="eastAsia"/>
      </w:rPr>
      <w:t>３－１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206E" w14:textId="77777777" w:rsidR="00716B55" w:rsidRDefault="00716B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23"/>
    <w:multiLevelType w:val="hybridMultilevel"/>
    <w:tmpl w:val="767AC9AA"/>
    <w:lvl w:ilvl="0" w:tplc="F8207718">
      <w:start w:val="6"/>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0E4B23"/>
    <w:multiLevelType w:val="hybridMultilevel"/>
    <w:tmpl w:val="B044A774"/>
    <w:lvl w:ilvl="0" w:tplc="5F3C0554">
      <w:start w:val="2"/>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7E7422"/>
    <w:multiLevelType w:val="hybridMultilevel"/>
    <w:tmpl w:val="79DA3E46"/>
    <w:lvl w:ilvl="0" w:tplc="65FCCE68">
      <w:start w:val="2"/>
      <w:numFmt w:val="bullet"/>
      <w:lvlText w:val="□"/>
      <w:lvlJc w:val="left"/>
      <w:pPr>
        <w:ind w:left="360" w:hanging="360"/>
      </w:pPr>
      <w:rPr>
        <w:rFonts w:ascii="游明朝" w:eastAsia="游明朝" w:hAnsi="游明朝" w:cstheme="minorBidi" w:hint="eastAsia"/>
        <w:sz w:val="22"/>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46D04C4"/>
    <w:multiLevelType w:val="hybridMultilevel"/>
    <w:tmpl w:val="4F108F88"/>
    <w:lvl w:ilvl="0" w:tplc="50761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65658222">
    <w:abstractNumId w:val="3"/>
  </w:num>
  <w:num w:numId="2" w16cid:durableId="1933315495">
    <w:abstractNumId w:val="0"/>
  </w:num>
  <w:num w:numId="3" w16cid:durableId="44184905">
    <w:abstractNumId w:val="2"/>
  </w:num>
  <w:num w:numId="4" w16cid:durableId="211898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DD"/>
    <w:rsid w:val="00032C0B"/>
    <w:rsid w:val="00051DC8"/>
    <w:rsid w:val="000563B0"/>
    <w:rsid w:val="0006207E"/>
    <w:rsid w:val="00065F1B"/>
    <w:rsid w:val="0007657A"/>
    <w:rsid w:val="00094806"/>
    <w:rsid w:val="000A5F53"/>
    <w:rsid w:val="000B5781"/>
    <w:rsid w:val="000B6E49"/>
    <w:rsid w:val="000C12EF"/>
    <w:rsid w:val="00101C35"/>
    <w:rsid w:val="0013533E"/>
    <w:rsid w:val="00150014"/>
    <w:rsid w:val="00182324"/>
    <w:rsid w:val="00184BF0"/>
    <w:rsid w:val="00187A73"/>
    <w:rsid w:val="001A6000"/>
    <w:rsid w:val="001A627E"/>
    <w:rsid w:val="001B0896"/>
    <w:rsid w:val="001B236B"/>
    <w:rsid w:val="001B621D"/>
    <w:rsid w:val="001D2F4D"/>
    <w:rsid w:val="001D72EB"/>
    <w:rsid w:val="002025C8"/>
    <w:rsid w:val="00212635"/>
    <w:rsid w:val="00212D11"/>
    <w:rsid w:val="00231A4B"/>
    <w:rsid w:val="0023613E"/>
    <w:rsid w:val="002558A4"/>
    <w:rsid w:val="002577BC"/>
    <w:rsid w:val="00267431"/>
    <w:rsid w:val="00282081"/>
    <w:rsid w:val="00284B02"/>
    <w:rsid w:val="002B1697"/>
    <w:rsid w:val="002B76CE"/>
    <w:rsid w:val="003044D9"/>
    <w:rsid w:val="00311398"/>
    <w:rsid w:val="00360352"/>
    <w:rsid w:val="00365C03"/>
    <w:rsid w:val="00382D1C"/>
    <w:rsid w:val="003830D7"/>
    <w:rsid w:val="00394647"/>
    <w:rsid w:val="003C12BB"/>
    <w:rsid w:val="003D288C"/>
    <w:rsid w:val="0040116A"/>
    <w:rsid w:val="00405955"/>
    <w:rsid w:val="004354AA"/>
    <w:rsid w:val="0045647F"/>
    <w:rsid w:val="00463DD8"/>
    <w:rsid w:val="00464E66"/>
    <w:rsid w:val="004A3406"/>
    <w:rsid w:val="004B36BA"/>
    <w:rsid w:val="004B66BD"/>
    <w:rsid w:val="004C60B2"/>
    <w:rsid w:val="004E23D9"/>
    <w:rsid w:val="004E3347"/>
    <w:rsid w:val="004E3D7E"/>
    <w:rsid w:val="004F486F"/>
    <w:rsid w:val="004F501F"/>
    <w:rsid w:val="004F5BFE"/>
    <w:rsid w:val="0052365D"/>
    <w:rsid w:val="0052402A"/>
    <w:rsid w:val="00524D04"/>
    <w:rsid w:val="00570F37"/>
    <w:rsid w:val="005756B9"/>
    <w:rsid w:val="005B1116"/>
    <w:rsid w:val="00603C26"/>
    <w:rsid w:val="00617A1B"/>
    <w:rsid w:val="00625858"/>
    <w:rsid w:val="00672C03"/>
    <w:rsid w:val="00675F27"/>
    <w:rsid w:val="00676E7C"/>
    <w:rsid w:val="00677903"/>
    <w:rsid w:val="00677E0C"/>
    <w:rsid w:val="006840D8"/>
    <w:rsid w:val="006855DD"/>
    <w:rsid w:val="006A2B57"/>
    <w:rsid w:val="006B4E8D"/>
    <w:rsid w:val="006C7D87"/>
    <w:rsid w:val="006D5B88"/>
    <w:rsid w:val="006E38BD"/>
    <w:rsid w:val="006F7016"/>
    <w:rsid w:val="007050C7"/>
    <w:rsid w:val="00716B55"/>
    <w:rsid w:val="00722F77"/>
    <w:rsid w:val="00734AC7"/>
    <w:rsid w:val="00772D37"/>
    <w:rsid w:val="0078209D"/>
    <w:rsid w:val="007D4886"/>
    <w:rsid w:val="007E56E9"/>
    <w:rsid w:val="007F0C44"/>
    <w:rsid w:val="007F2141"/>
    <w:rsid w:val="00807DCE"/>
    <w:rsid w:val="008564C7"/>
    <w:rsid w:val="00864493"/>
    <w:rsid w:val="00870F9A"/>
    <w:rsid w:val="00873662"/>
    <w:rsid w:val="008769A7"/>
    <w:rsid w:val="008961B9"/>
    <w:rsid w:val="008F00AA"/>
    <w:rsid w:val="008F122C"/>
    <w:rsid w:val="0090261C"/>
    <w:rsid w:val="009151CE"/>
    <w:rsid w:val="00930434"/>
    <w:rsid w:val="00936105"/>
    <w:rsid w:val="009421F6"/>
    <w:rsid w:val="00973C7D"/>
    <w:rsid w:val="00982ACD"/>
    <w:rsid w:val="0099675A"/>
    <w:rsid w:val="009B76DB"/>
    <w:rsid w:val="009C5F48"/>
    <w:rsid w:val="00A954FA"/>
    <w:rsid w:val="00AB1833"/>
    <w:rsid w:val="00AD7819"/>
    <w:rsid w:val="00AF6F1A"/>
    <w:rsid w:val="00B2775C"/>
    <w:rsid w:val="00B30A9D"/>
    <w:rsid w:val="00B31B3D"/>
    <w:rsid w:val="00B62C26"/>
    <w:rsid w:val="00B63244"/>
    <w:rsid w:val="00BA0CB3"/>
    <w:rsid w:val="00BB3111"/>
    <w:rsid w:val="00BC2771"/>
    <w:rsid w:val="00BC38A8"/>
    <w:rsid w:val="00BF5CBA"/>
    <w:rsid w:val="00C22EE5"/>
    <w:rsid w:val="00C5694A"/>
    <w:rsid w:val="00C70FC1"/>
    <w:rsid w:val="00C819AC"/>
    <w:rsid w:val="00CB1FFC"/>
    <w:rsid w:val="00CE2692"/>
    <w:rsid w:val="00CE3272"/>
    <w:rsid w:val="00CE392D"/>
    <w:rsid w:val="00D12FF5"/>
    <w:rsid w:val="00D215AE"/>
    <w:rsid w:val="00D37C0B"/>
    <w:rsid w:val="00D470A9"/>
    <w:rsid w:val="00D70FBE"/>
    <w:rsid w:val="00D75328"/>
    <w:rsid w:val="00D87E33"/>
    <w:rsid w:val="00DA3679"/>
    <w:rsid w:val="00DA6F46"/>
    <w:rsid w:val="00DC7525"/>
    <w:rsid w:val="00DF4FA7"/>
    <w:rsid w:val="00DF67F6"/>
    <w:rsid w:val="00E12A0C"/>
    <w:rsid w:val="00E15C65"/>
    <w:rsid w:val="00E23B4C"/>
    <w:rsid w:val="00E32E0F"/>
    <w:rsid w:val="00E46206"/>
    <w:rsid w:val="00E575C3"/>
    <w:rsid w:val="00E57EAA"/>
    <w:rsid w:val="00E62678"/>
    <w:rsid w:val="00E76914"/>
    <w:rsid w:val="00E945FD"/>
    <w:rsid w:val="00E9666F"/>
    <w:rsid w:val="00ED7C4B"/>
    <w:rsid w:val="00ED7FF4"/>
    <w:rsid w:val="00F41492"/>
    <w:rsid w:val="00F47D18"/>
    <w:rsid w:val="00F76371"/>
    <w:rsid w:val="00F7697A"/>
    <w:rsid w:val="00F77416"/>
    <w:rsid w:val="00FA6057"/>
    <w:rsid w:val="00FE077B"/>
    <w:rsid w:val="00FE1EBB"/>
    <w:rsid w:val="00FF280F"/>
    <w:rsid w:val="00FF2BFC"/>
    <w:rsid w:val="00FF5F18"/>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A31D4"/>
  <w15:chartTrackingRefBased/>
  <w15:docId w15:val="{FA65B9FF-F896-490F-9168-CF97A19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BFC"/>
    <w:pPr>
      <w:tabs>
        <w:tab w:val="center" w:pos="4252"/>
        <w:tab w:val="right" w:pos="8504"/>
      </w:tabs>
      <w:snapToGrid w:val="0"/>
    </w:pPr>
  </w:style>
  <w:style w:type="character" w:customStyle="1" w:styleId="a4">
    <w:name w:val="ヘッダー (文字)"/>
    <w:basedOn w:val="a0"/>
    <w:link w:val="a3"/>
    <w:uiPriority w:val="99"/>
    <w:rsid w:val="00FF2BFC"/>
  </w:style>
  <w:style w:type="paragraph" w:styleId="a5">
    <w:name w:val="footer"/>
    <w:basedOn w:val="a"/>
    <w:link w:val="a6"/>
    <w:uiPriority w:val="99"/>
    <w:unhideWhenUsed/>
    <w:rsid w:val="00FF2BFC"/>
    <w:pPr>
      <w:tabs>
        <w:tab w:val="center" w:pos="4252"/>
        <w:tab w:val="right" w:pos="8504"/>
      </w:tabs>
      <w:snapToGrid w:val="0"/>
    </w:pPr>
  </w:style>
  <w:style w:type="character" w:customStyle="1" w:styleId="a6">
    <w:name w:val="フッター (文字)"/>
    <w:basedOn w:val="a0"/>
    <w:link w:val="a5"/>
    <w:uiPriority w:val="99"/>
    <w:rsid w:val="00FF2BFC"/>
  </w:style>
  <w:style w:type="paragraph" w:customStyle="1" w:styleId="a7">
    <w:name w:val="１．本文"/>
    <w:basedOn w:val="a"/>
    <w:rsid w:val="006D5B88"/>
    <w:pPr>
      <w:ind w:leftChars="100" w:left="100" w:firstLineChars="100" w:firstLine="100"/>
    </w:pPr>
    <w:rPr>
      <w:rFonts w:ascii="Century" w:eastAsia="ＭＳ 明朝" w:hAnsi="Century" w:cs="Times New Roman"/>
      <w:szCs w:val="24"/>
    </w:rPr>
  </w:style>
  <w:style w:type="paragraph" w:customStyle="1" w:styleId="a8">
    <w:name w:val="①"/>
    <w:basedOn w:val="a"/>
    <w:rsid w:val="006D5B88"/>
    <w:pPr>
      <w:ind w:leftChars="400" w:left="400"/>
    </w:pPr>
    <w:rPr>
      <w:rFonts w:ascii="Century" w:eastAsia="HG丸ｺﾞｼｯｸM-PRO" w:hAnsi="Century" w:cs="Times New Roman"/>
      <w:szCs w:val="24"/>
    </w:rPr>
  </w:style>
  <w:style w:type="paragraph" w:customStyle="1" w:styleId="a9">
    <w:name w:val="・箇条書き"/>
    <w:basedOn w:val="a"/>
    <w:rsid w:val="006D5B88"/>
    <w:pPr>
      <w:ind w:leftChars="300" w:left="400" w:hangingChars="100" w:hanging="100"/>
    </w:pPr>
    <w:rPr>
      <w:rFonts w:ascii="Century" w:eastAsia="HG丸ｺﾞｼｯｸM-PRO" w:hAnsi="Century" w:cs="Times New Roman"/>
      <w:szCs w:val="24"/>
    </w:rPr>
  </w:style>
  <w:style w:type="table" w:styleId="aa">
    <w:name w:val="Table Grid"/>
    <w:basedOn w:val="a1"/>
    <w:uiPriority w:val="39"/>
    <w:rsid w:val="0094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0FBE"/>
    <w:pPr>
      <w:ind w:leftChars="400" w:left="840"/>
    </w:pPr>
  </w:style>
  <w:style w:type="paragraph" w:customStyle="1" w:styleId="ac">
    <w:name w:val="Ⅰ"/>
    <w:basedOn w:val="a"/>
    <w:rsid w:val="00570F37"/>
    <w:rPr>
      <w:rFonts w:ascii="HG丸ｺﾞｼｯｸM-PRO" w:eastAsia="HG丸ｺﾞｼｯｸM-PRO"/>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D8ED-8D3A-4B07-90EF-5C1CF2B6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昌典</dc:creator>
  <cp:keywords/>
  <dc:description/>
  <cp:lastModifiedBy>鎌田　早希</cp:lastModifiedBy>
  <cp:revision>63</cp:revision>
  <cp:lastPrinted>2023-11-22T07:45:00Z</cp:lastPrinted>
  <dcterms:created xsi:type="dcterms:W3CDTF">2023-10-17T09:30:00Z</dcterms:created>
  <dcterms:modified xsi:type="dcterms:W3CDTF">2024-02-19T02:42:00Z</dcterms:modified>
</cp:coreProperties>
</file>